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小标宋_GBK" w:hAnsi="方正小标宋_GBK" w:eastAsia="方正小标宋_GBK" w:cs="方正小标宋_GBK"/>
          <w:sz w:val="44"/>
          <w:szCs w:val="44"/>
        </w:rPr>
      </w:pPr>
      <w:bookmarkStart w:id="1" w:name="_Toc15377193"/>
      <w:bookmarkStart w:id="2" w:name="_Toc15378441"/>
      <w:bookmarkStart w:id="3" w:name="_Toc15396597"/>
      <w:bookmarkStart w:id="4" w:name="_Toc15396475"/>
      <w:bookmarkStart w:id="5" w:name="_Toc15377425"/>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_GBK" w:hAnsi="方正小标宋_GBK" w:eastAsia="方正小标宋_GBK" w:cs="方正小标宋_GBK"/>
          <w:sz w:val="72"/>
          <w:szCs w:val="72"/>
        </w:rPr>
      </w:pPr>
      <w:bookmarkStart w:id="6" w:name="_Toc15377194"/>
      <w:bookmarkStart w:id="7" w:name="_Toc15306268"/>
      <w:bookmarkStart w:id="8" w:name="_Toc15396598"/>
      <w:bookmarkStart w:id="9" w:name="_Toc15378442"/>
      <w:bookmarkStart w:id="10" w:name="_Toc15396476"/>
      <w:bookmarkStart w:id="11" w:name="_Toc15377426"/>
      <w:r>
        <w:rPr>
          <w:rFonts w:hint="eastAsia" w:ascii="方正小标宋_GBK" w:hAnsi="方正小标宋_GBK" w:eastAsia="方正小标宋_GBK" w:cs="方正小标宋_GBK"/>
          <w:sz w:val="44"/>
          <w:szCs w:val="44"/>
          <w:lang w:eastAsia="zh-CN"/>
        </w:rPr>
        <w:t>中国共产党宝兴县纪律检查委员会单位</w:t>
      </w:r>
      <w:r>
        <w:rPr>
          <w:rFonts w:hint="eastAsia" w:ascii="方正小标宋_GBK" w:hAnsi="方正小标宋_GBK" w:eastAsia="方正小标宋_GBK" w:cs="方正小标宋_GBK"/>
          <w:sz w:val="44"/>
          <w:szCs w:val="44"/>
        </w:rPr>
        <w:t>决算</w:t>
      </w:r>
      <w:bookmarkEnd w:id="6"/>
      <w:bookmarkEnd w:id="7"/>
      <w:bookmarkEnd w:id="8"/>
      <w:bookmarkEnd w:id="9"/>
      <w:bookmarkEnd w:id="10"/>
      <w:bookmarkEnd w:id="11"/>
    </w:p>
    <w:p>
      <w:pPr>
        <w:pageBreakBefore w:val="0"/>
        <w:widowControl/>
        <w:kinsoku/>
        <w:wordWrap/>
        <w:overflowPunct/>
        <w:topLinePunct w:val="0"/>
        <w:bidi w:val="0"/>
        <w:spacing w:line="576"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目录</w:t>
      </w:r>
    </w:p>
    <w:p>
      <w:pPr>
        <w:pageBreakBefore w:val="0"/>
        <w:widowControl/>
        <w:kinsoku/>
        <w:wordWrap/>
        <w:overflowPunct/>
        <w:topLinePunct w:val="0"/>
        <w:bidi w:val="0"/>
        <w:spacing w:line="576" w:lineRule="exact"/>
        <w:jc w:val="center"/>
        <w:textAlignment w:val="auto"/>
        <w:rPr>
          <w:rFonts w:ascii="黑体" w:hAnsi="黑体" w:eastAsia="黑体" w:cstheme="minorBidi"/>
          <w:sz w:val="28"/>
          <w:szCs w:val="28"/>
        </w:rPr>
      </w:pPr>
    </w:p>
    <w:p>
      <w:pPr>
        <w:pStyle w:val="15"/>
        <w:pageBreakBefore w:val="0"/>
        <w:kinsoku/>
        <w:wordWrap/>
        <w:overflowPunct/>
        <w:topLinePunct w:val="0"/>
        <w:bidi w:val="0"/>
        <w:spacing w:line="576" w:lineRule="exac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日</w:t>
      </w:r>
    </w:p>
    <w:p>
      <w:pPr>
        <w:pStyle w:val="15"/>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单位概况</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5"/>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 202</w:t>
      </w:r>
      <w:r>
        <w:rPr>
          <w:rFonts w:hint="eastAsia" w:ascii="Times New Roman" w:hAnsi="Times New Roman" w:eastAsia="黑体" w:cs="黑体"/>
          <w:color w:val="auto"/>
          <w:sz w:val="32"/>
          <w:szCs w:val="32"/>
          <w:highlight w:val="none"/>
          <w:lang w:val="en-US" w:eastAsia="zh-CN"/>
        </w:rPr>
        <w:t>4</w:t>
      </w:r>
      <w:r>
        <w:rPr>
          <w:rFonts w:hint="eastAsia" w:ascii="Times New Roman" w:hAnsi="Times New Roman" w:eastAsia="黑体" w:cs="黑体"/>
          <w:color w:val="auto"/>
          <w:sz w:val="32"/>
          <w:szCs w:val="32"/>
          <w:highlight w:val="none"/>
        </w:rPr>
        <w:t>年度单位决算情况说明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5"/>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pPr>
        <w:pStyle w:val="15"/>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pPr>
        <w:pStyle w:val="15"/>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pStyle w:val="17"/>
        <w:pageBreakBefore w:val="0"/>
        <w:kinsoku/>
        <w:wordWrap/>
        <w:overflowPunct/>
        <w:topLinePunct w:val="0"/>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pageBreakBefore w:val="0"/>
        <w:widowControl/>
        <w:kinsoku/>
        <w:wordWrap/>
        <w:overflowPunct/>
        <w:topLinePunct w:val="0"/>
        <w:bidi w:val="0"/>
        <w:spacing w:line="576" w:lineRule="exact"/>
        <w:jc w:val="left"/>
        <w:textAlignment w:val="auto"/>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5"/>
        <w:pageBreakBefore w:val="0"/>
        <w:kinsoku/>
        <w:wordWrap/>
        <w:overflowPunct/>
        <w:topLinePunct w:val="0"/>
        <w:bidi w:val="0"/>
        <w:spacing w:line="576" w:lineRule="exact"/>
        <w:jc w:val="center"/>
        <w:textAlignment w:val="auto"/>
        <w:rPr>
          <w:rFonts w:ascii="黑体" w:eastAsia="黑体"/>
          <w:sz w:val="32"/>
          <w:szCs w:val="32"/>
        </w:rPr>
      </w:pPr>
      <w:r>
        <w:rPr>
          <w:rFonts w:hint="eastAsia" w:ascii="方正小标宋_GBK" w:hAnsi="方正小标宋_GBK" w:eastAsia="方正小标宋_GBK" w:cs="方正小标宋_GBK"/>
          <w:b w:val="0"/>
        </w:rPr>
        <w:t>第一部分 单位</w:t>
      </w:r>
      <w:r>
        <w:rPr>
          <w:rStyle w:val="34"/>
          <w:rFonts w:hint="eastAsia" w:ascii="方正小标宋_GBK" w:hAnsi="方正小标宋_GBK" w:eastAsia="方正小标宋_GBK" w:cs="方正小标宋_GBK"/>
          <w:b w:val="0"/>
          <w:bCs w:val="0"/>
        </w:rPr>
        <w:t>概况</w:t>
      </w:r>
      <w:bookmarkEnd w:id="12"/>
      <w:bookmarkEnd w:id="13"/>
    </w:p>
    <w:p>
      <w:pPr>
        <w:pStyle w:val="6"/>
        <w:pageBreakBefore w:val="0"/>
        <w:numPr>
          <w:ilvl w:val="0"/>
          <w:numId w:val="0"/>
        </w:numPr>
        <w:kinsoku/>
        <w:wordWrap/>
        <w:overflowPunct/>
        <w:topLinePunct w:val="0"/>
        <w:bidi w:val="0"/>
        <w:spacing w:line="576" w:lineRule="exact"/>
        <w:ind w:firstLine="640" w:firstLineChars="200"/>
        <w:textAlignment w:val="auto"/>
        <w:rPr>
          <w:rFonts w:hint="eastAsia" w:ascii="黑体" w:hAnsi="黑体" w:eastAsia="黑体"/>
          <w:b w:val="0"/>
        </w:rPr>
      </w:pPr>
      <w:r>
        <w:rPr>
          <w:rFonts w:hint="eastAsia" w:ascii="黑体" w:hAnsi="黑体" w:eastAsia="黑体"/>
          <w:b w:val="0"/>
          <w:lang w:eastAsia="zh-CN"/>
        </w:rPr>
        <w:t>一、</w:t>
      </w:r>
      <w:r>
        <w:rPr>
          <w:rFonts w:hint="eastAsia" w:ascii="黑体" w:hAnsi="黑体" w:eastAsia="黑体"/>
          <w:b w:val="0"/>
        </w:rPr>
        <w:t>部门职责</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60606"/>
          <w:kern w:val="0"/>
          <w:sz w:val="32"/>
          <w:szCs w:val="32"/>
        </w:rPr>
        <w:t>我单位性质为行政单位，主要职责是：</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负责党的纪律检查工作。贯彻落实党中央关于纪律检查工作的决定，维护党的章程和其他党内法规，检查党的路线方针政策和决议的执行情况，协助县委推进全面从严治党、加强党风建设和组织协调反腐败工作。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负责全县监察工作。贯彻落实党中央、省委、市委关于监察工作的决定，维护宪法法律，依法对县委管理的行使公权力的公职人员进行监察，调查职务违法和职务犯罪，开展廉政建设和反腐败工作。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负责组织协调全面从严治党、党风廉政建设和反腐败宣传教育工作。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负责综合分析全面从严治党、党风廉政建设和反腐败工作情况，对纪检监察工作重要理论及实践问题进行调查研究。制定或者修改全县纪检监察制度，参与起草制定相关制度和规范性文件。</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在市纪委监委的领导下，加强对反腐败国际追逃追赃和防逃工作的组织协调，督促有关单位做好相关工作。</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干部管理权限，负责纪检监察系统领导班子建设、干部队伍建设和组织建设的综合规划、政策研究、制度建设和业务指导。会同有关方面做好县纪委监委派驻（出）机构、乡（镇）纪委领导班子建设有关工作。组织和指导全县纪检监察系统干部教育培训工作等。</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完成县委和市纪委监委交办的其他任务。</w:t>
      </w:r>
    </w:p>
    <w:p>
      <w:pPr>
        <w:pageBreakBefore w:val="0"/>
        <w:numPr>
          <w:ilvl w:val="0"/>
          <w:numId w:val="0"/>
        </w:numPr>
        <w:kinsoku/>
        <w:wordWrap/>
        <w:overflowPunct/>
        <w:topLinePunct w:val="0"/>
        <w:bidi w:val="0"/>
        <w:spacing w:line="576" w:lineRule="exact"/>
        <w:textAlignment w:val="auto"/>
      </w:pPr>
    </w:p>
    <w:p>
      <w:pPr>
        <w:pStyle w:val="6"/>
        <w:pageBreakBefore w:val="0"/>
        <w:kinsoku/>
        <w:wordWrap/>
        <w:overflowPunct/>
        <w:topLinePunct w:val="0"/>
        <w:bidi w:val="0"/>
        <w:spacing w:line="576" w:lineRule="exact"/>
        <w:ind w:firstLine="640" w:firstLineChars="200"/>
        <w:textAlignment w:val="auto"/>
        <w:rPr>
          <w:rStyle w:val="35"/>
          <w:b w:val="0"/>
          <w:bCs w:val="0"/>
        </w:rPr>
      </w:pPr>
      <w:bookmarkStart w:id="14" w:name="_Toc15377200"/>
      <w:bookmarkStart w:id="15" w:name="_Toc15396601"/>
      <w:r>
        <w:rPr>
          <w:rFonts w:hint="eastAsia" w:ascii="黑体" w:eastAsia="黑体"/>
          <w:b w:val="0"/>
          <w:lang w:eastAsia="zh-CN"/>
        </w:rPr>
        <w:t>二</w:t>
      </w:r>
      <w:r>
        <w:rPr>
          <w:rFonts w:hint="eastAsia" w:ascii="黑体" w:eastAsia="黑体"/>
          <w:b w:val="0"/>
        </w:rPr>
        <w:t>、</w:t>
      </w:r>
      <w:r>
        <w:rPr>
          <w:rFonts w:hint="eastAsia" w:ascii="黑体" w:hAnsi="黑体" w:eastAsia="黑体"/>
          <w:b w:val="0"/>
        </w:rPr>
        <w:t>机</w:t>
      </w:r>
      <w:r>
        <w:rPr>
          <w:rStyle w:val="35"/>
          <w:rFonts w:hint="eastAsia" w:ascii="黑体" w:hAnsi="黑体" w:eastAsia="黑体"/>
          <w:b w:val="0"/>
          <w:bCs w:val="0"/>
        </w:rPr>
        <w:t>构设置</w:t>
      </w:r>
      <w:bookmarkEnd w:id="14"/>
      <w:bookmarkEnd w:id="15"/>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1.中共宝兴县纪律检查委员会、宝兴县监察委员会合署办公，共有13个内设机构，具体为：办公室、组织部、党风政风监督室、信访室、案件监督管理室（信息技术保障室）、第一至第</w:t>
      </w: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纪检监察室、干部监督室、案件审理室。</w:t>
      </w:r>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设有1个事业单位为党风廉政教育培训中心。</w:t>
      </w:r>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县委巡察办、巡察组为县委工作部门。</w:t>
      </w:r>
    </w:p>
    <w:p>
      <w:pPr>
        <w:pStyle w:val="2"/>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此外，还设有宝兴县纪委监委派驻纪检监察机构11个。</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kern w:val="2"/>
          <w:sz w:val="32"/>
          <w:szCs w:val="32"/>
          <w:lang w:val="en-US" w:eastAsia="zh-CN" w:bidi="ar-SA"/>
        </w:rPr>
        <w:t>2.人员情况。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年年末在职人数</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公务员</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人，事业人员</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年年末</w:t>
      </w:r>
      <w:r>
        <w:rPr>
          <w:rFonts w:hint="default" w:ascii="Times New Roman" w:hAnsi="Times New Roman" w:eastAsia="仿宋_GB2312" w:cs="Times New Roman"/>
          <w:sz w:val="32"/>
          <w:szCs w:val="32"/>
          <w:lang w:val="en-US" w:eastAsia="zh-CN"/>
        </w:rPr>
        <w:t>68人</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人，其中：</w:t>
      </w:r>
      <w:r>
        <w:rPr>
          <w:rFonts w:hint="default"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rPr>
        <w:t>调出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人，调入</w:t>
      </w:r>
      <w:r>
        <w:rPr>
          <w:rFonts w:hint="default" w:ascii="Times New Roman" w:hAnsi="Times New Roman" w:eastAsia="仿宋_GB2312" w:cs="Times New Roman"/>
          <w:sz w:val="32"/>
          <w:szCs w:val="32"/>
          <w:lang w:val="en-US" w:eastAsia="zh-CN"/>
        </w:rPr>
        <w:t>15人</w:t>
      </w:r>
      <w:r>
        <w:rPr>
          <w:rFonts w:hint="default" w:ascii="Times New Roman" w:hAnsi="Times New Roman" w:eastAsia="仿宋_GB2312" w:cs="Times New Roman"/>
          <w:sz w:val="32"/>
          <w:szCs w:val="32"/>
        </w:rPr>
        <w:t>，退休</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人，新进</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w:t>
      </w: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ind w:firstLine="880" w:firstLineChars="200"/>
        <w:textAlignment w:val="auto"/>
        <w:rPr>
          <w:rStyle w:val="34"/>
          <w:rFonts w:hint="eastAsia" w:ascii="黑体" w:hAnsi="黑体" w:eastAsia="黑体"/>
          <w:b w:val="0"/>
          <w:bCs/>
        </w:rPr>
      </w:pPr>
    </w:p>
    <w:p>
      <w:pPr>
        <w:pageBreakBefore w:val="0"/>
        <w:numPr>
          <w:ilvl w:val="0"/>
          <w:numId w:val="0"/>
        </w:numPr>
        <w:kinsoku/>
        <w:wordWrap/>
        <w:overflowPunct/>
        <w:topLinePunct w:val="0"/>
        <w:bidi w:val="0"/>
        <w:snapToGrid w:val="0"/>
        <w:spacing w:line="576" w:lineRule="exact"/>
        <w:textAlignment w:val="auto"/>
        <w:rPr>
          <w:rStyle w:val="34"/>
          <w:rFonts w:hint="eastAsia" w:ascii="黑体" w:hAnsi="黑体" w:eastAsia="黑体"/>
          <w:b w:val="0"/>
          <w:bCs/>
        </w:rPr>
      </w:pPr>
    </w:p>
    <w:p>
      <w:pPr>
        <w:rPr>
          <w:rStyle w:val="34"/>
          <w:rFonts w:hint="eastAsia" w:ascii="黑体" w:hAnsi="黑体" w:eastAsia="黑体"/>
          <w:b w:val="0"/>
          <w:bCs/>
        </w:rPr>
      </w:pPr>
      <w:r>
        <w:rPr>
          <w:rStyle w:val="34"/>
          <w:rFonts w:hint="eastAsia" w:ascii="黑体" w:hAnsi="黑体" w:eastAsia="黑体"/>
          <w:b w:val="0"/>
          <w:bCs/>
        </w:rPr>
        <w:br w:type="page"/>
      </w:r>
    </w:p>
    <w:p>
      <w:pPr>
        <w:pageBreakBefore w:val="0"/>
        <w:numPr>
          <w:ilvl w:val="0"/>
          <w:numId w:val="0"/>
        </w:numPr>
        <w:kinsoku/>
        <w:wordWrap/>
        <w:overflowPunct/>
        <w:topLinePunct w:val="0"/>
        <w:bidi w:val="0"/>
        <w:snapToGrid w:val="0"/>
        <w:spacing w:line="576" w:lineRule="exact"/>
        <w:ind w:firstLine="440" w:firstLineChars="100"/>
        <w:jc w:val="center"/>
        <w:textAlignment w:val="auto"/>
        <w:rPr>
          <w:rStyle w:val="34"/>
          <w:rFonts w:ascii="黑体" w:hAnsi="黑体" w:eastAsia="黑体"/>
          <w:b w:val="0"/>
          <w:bCs/>
        </w:rPr>
      </w:pPr>
      <w:r>
        <w:rPr>
          <w:rStyle w:val="34"/>
          <w:rFonts w:hint="eastAsia" w:ascii="方正小标宋_GBK" w:hAnsi="方正小标宋_GBK" w:eastAsia="方正小标宋_GBK" w:cs="方正小标宋_GBK"/>
          <w:b w:val="0"/>
          <w:bCs/>
        </w:rPr>
        <w:t xml:space="preserve">第二部分 </w:t>
      </w:r>
      <w:r>
        <w:rPr>
          <w:rStyle w:val="34"/>
          <w:rFonts w:hint="default" w:ascii="Times New Roman" w:hAnsi="Times New Roman" w:eastAsia="方正小标宋_GBK" w:cs="Times New Roman"/>
          <w:b w:val="0"/>
          <w:bCs/>
        </w:rPr>
        <w:t>202</w:t>
      </w:r>
      <w:r>
        <w:rPr>
          <w:rStyle w:val="34"/>
          <w:rFonts w:hint="default" w:ascii="Times New Roman" w:hAnsi="Times New Roman" w:eastAsia="方正小标宋_GBK" w:cs="Times New Roman"/>
          <w:b w:val="0"/>
          <w:bCs/>
          <w:lang w:val="en-US" w:eastAsia="zh-CN"/>
        </w:rPr>
        <w:t>4</w:t>
      </w:r>
      <w:r>
        <w:rPr>
          <w:rStyle w:val="34"/>
          <w:rFonts w:hint="eastAsia" w:ascii="方正小标宋_GBK" w:hAnsi="方正小标宋_GBK" w:eastAsia="方正小标宋_GBK" w:cs="方正小标宋_GBK"/>
          <w:b w:val="0"/>
          <w:bCs/>
        </w:rPr>
        <w:t>年度部门决算情况说明</w:t>
      </w:r>
    </w:p>
    <w:p>
      <w:pPr>
        <w:pageBreakBefore w:val="0"/>
        <w:kinsoku/>
        <w:wordWrap/>
        <w:overflowPunct/>
        <w:topLinePunct w:val="0"/>
        <w:bidi w:val="0"/>
        <w:spacing w:line="576" w:lineRule="exact"/>
        <w:textAlignment w:val="auto"/>
      </w:pPr>
    </w:p>
    <w:p>
      <w:pPr>
        <w:pStyle w:val="33"/>
        <w:pageBreakBefore w:val="0"/>
        <w:numPr>
          <w:ilvl w:val="0"/>
          <w:numId w:val="2"/>
        </w:numPr>
        <w:kinsoku/>
        <w:wordWrap/>
        <w:overflowPunct/>
        <w:topLinePunct w:val="0"/>
        <w:bidi w:val="0"/>
        <w:spacing w:line="576" w:lineRule="exact"/>
        <w:ind w:firstLineChars="0"/>
        <w:textAlignment w:val="auto"/>
        <w:outlineLvl w:val="1"/>
        <w:rPr>
          <w:rStyle w:val="35"/>
          <w:rFonts w:ascii="黑体" w:hAnsi="黑体" w:eastAsia="黑体"/>
          <w:b w:val="0"/>
        </w:rPr>
      </w:pPr>
      <w:bookmarkStart w:id="16" w:name="_Toc15396603"/>
      <w:bookmarkStart w:id="17" w:name="_Toc15377205"/>
      <w:r>
        <w:rPr>
          <w:rFonts w:hint="eastAsia" w:ascii="黑体" w:hAnsi="黑体" w:eastAsia="黑体"/>
          <w:sz w:val="32"/>
          <w:szCs w:val="32"/>
        </w:rPr>
        <w:t>收</w:t>
      </w:r>
      <w:r>
        <w:rPr>
          <w:rStyle w:val="35"/>
          <w:rFonts w:hint="eastAsia" w:ascii="黑体" w:hAnsi="黑体" w:eastAsia="黑体"/>
          <w:b w:val="0"/>
        </w:rPr>
        <w:t>入支出决算总体情况说明</w:t>
      </w:r>
      <w:bookmarkEnd w:id="16"/>
      <w:bookmarkEnd w:id="17"/>
    </w:p>
    <w:p>
      <w:pPr>
        <w:keepNext w:val="0"/>
        <w:keepLines w:val="0"/>
        <w:pageBreakBefore w:val="0"/>
        <w:widowControl/>
        <w:kinsoku/>
        <w:wordWrap/>
        <w:overflowPunct/>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2024年度收、支总计均为1712.65万元。与2023年度1778.12万元相比，减少65.47万元，减少3.68%。主要变动原因是2024年较2023年部分临时性项目结束，且2024年度人员变动（调出5人，调入15人，退休6人，新进2人）导致基本支出减少。</w:t>
      </w:r>
    </w:p>
    <w:p>
      <w:pPr>
        <w:pStyle w:val="2"/>
        <w:jc w:val="center"/>
      </w:pPr>
      <w:r>
        <w:drawing>
          <wp:inline distT="0" distB="0" distL="114300" distR="114300">
            <wp:extent cx="5172710" cy="3418840"/>
            <wp:effectExtent l="4445" t="4445" r="2349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（图1：收、支决算总计变动情况图）（柱状图）</w:t>
      </w:r>
    </w:p>
    <w:p>
      <w:pPr>
        <w:pStyle w:val="33"/>
        <w:pageBreakBefore w:val="0"/>
        <w:numPr>
          <w:ilvl w:val="0"/>
          <w:numId w:val="2"/>
        </w:numPr>
        <w:kinsoku/>
        <w:wordWrap/>
        <w:overflowPunct/>
        <w:topLinePunct w:val="0"/>
        <w:bidi w:val="0"/>
        <w:spacing w:line="576" w:lineRule="exact"/>
        <w:ind w:firstLineChars="0"/>
        <w:textAlignment w:val="auto"/>
        <w:outlineLvl w:val="1"/>
        <w:rPr>
          <w:rStyle w:val="35"/>
          <w:rFonts w:ascii="黑体" w:hAnsi="黑体" w:eastAsia="黑体"/>
          <w:b w:val="0"/>
        </w:rPr>
      </w:pPr>
      <w:bookmarkStart w:id="18" w:name="_Toc15396604"/>
      <w:bookmarkStart w:id="19" w:name="_Toc15377206"/>
      <w:r>
        <w:rPr>
          <w:rFonts w:hint="eastAsia" w:ascii="黑体" w:hAnsi="黑体" w:eastAsia="黑体"/>
          <w:sz w:val="32"/>
          <w:szCs w:val="32"/>
        </w:rPr>
        <w:t>收</w:t>
      </w:r>
      <w:r>
        <w:rPr>
          <w:rStyle w:val="35"/>
          <w:rFonts w:hint="eastAsia" w:ascii="黑体" w:hAnsi="黑体" w:eastAsia="黑体"/>
          <w:b w:val="0"/>
        </w:rPr>
        <w:t>入决算情况说明</w:t>
      </w:r>
      <w:bookmarkEnd w:id="18"/>
      <w:bookmarkEnd w:id="19"/>
    </w:p>
    <w:p>
      <w:pPr>
        <w:pageBreakBefore w:val="0"/>
        <w:kinsoku/>
        <w:wordWrap/>
        <w:overflowPunct/>
        <w:topLinePunct w:val="0"/>
        <w:bidi w:val="0"/>
        <w:spacing w:line="576"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年度本年收入合计</w:t>
      </w:r>
      <w:r>
        <w:rPr>
          <w:rFonts w:hint="default" w:ascii="Times New Roman" w:hAnsi="Times New Roman" w:eastAsia="仿宋_GB2312" w:cs="Times New Roman"/>
          <w:sz w:val="32"/>
          <w:szCs w:val="32"/>
          <w:lang w:val="en-US" w:eastAsia="zh-CN"/>
        </w:rPr>
        <w:t>1712.65</w:t>
      </w:r>
      <w:r>
        <w:rPr>
          <w:rFonts w:hint="default" w:ascii="Times New Roman" w:hAnsi="Times New Roman" w:eastAsia="仿宋_GB2312" w:cs="Times New Roman"/>
          <w:sz w:val="32"/>
          <w:szCs w:val="32"/>
        </w:rPr>
        <w:t>万元，其中：一般公共预算财政拨款收入17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p>
    <w:p>
      <w:pPr>
        <w:pStyle w:val="2"/>
        <w:jc w:val="center"/>
        <w:rPr>
          <w:rFonts w:ascii="仿宋" w:hAnsi="仿宋" w:eastAsia="仿宋"/>
          <w:sz w:val="32"/>
          <w:szCs w:val="32"/>
        </w:rP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576" w:lineRule="exact"/>
        <w:ind w:firstLine="643" w:firstLineChars="200"/>
        <w:textAlignment w:val="auto"/>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（注：数据来源于财决01表，仅罗列本部门涉及的收入。）</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（图2：收入决算结构图）（饼状图）</w:t>
      </w:r>
    </w:p>
    <w:p>
      <w:pPr>
        <w:pStyle w:val="33"/>
        <w:pageBreakBefore w:val="0"/>
        <w:numPr>
          <w:ilvl w:val="0"/>
          <w:numId w:val="2"/>
        </w:numPr>
        <w:kinsoku/>
        <w:wordWrap/>
        <w:overflowPunct/>
        <w:topLinePunct w:val="0"/>
        <w:bidi w:val="0"/>
        <w:spacing w:line="576" w:lineRule="exact"/>
        <w:ind w:firstLineChars="0"/>
        <w:textAlignment w:val="auto"/>
        <w:outlineLvl w:val="1"/>
        <w:rPr>
          <w:rStyle w:val="35"/>
          <w:rFonts w:ascii="黑体" w:hAnsi="黑体" w:eastAsia="黑体"/>
          <w:b w:val="0"/>
        </w:rPr>
      </w:pPr>
      <w:bookmarkStart w:id="20" w:name="_Toc15396605"/>
      <w:bookmarkStart w:id="21" w:name="_Toc15377207"/>
      <w:r>
        <w:rPr>
          <w:rFonts w:hint="eastAsia" w:ascii="黑体" w:hAnsi="黑体" w:eastAsia="黑体"/>
          <w:sz w:val="32"/>
          <w:szCs w:val="32"/>
        </w:rPr>
        <w:t>支</w:t>
      </w:r>
      <w:r>
        <w:rPr>
          <w:rStyle w:val="35"/>
          <w:rFonts w:hint="eastAsia" w:ascii="黑体" w:hAnsi="黑体" w:eastAsia="黑体"/>
          <w:b w:val="0"/>
        </w:rPr>
        <w:t>出决算情况说明</w:t>
      </w:r>
      <w:bookmarkEnd w:id="20"/>
      <w:bookmarkEnd w:id="21"/>
    </w:p>
    <w:p>
      <w:pPr>
        <w:pageBreakBefore w:val="0"/>
        <w:kinsoku/>
        <w:wordWrap/>
        <w:overflowPunct/>
        <w:topLinePunct w:val="0"/>
        <w:bidi w:val="0"/>
        <w:spacing w:line="576"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年度本年支出合计</w:t>
      </w:r>
      <w:r>
        <w:rPr>
          <w:rFonts w:hint="default" w:ascii="Times New Roman" w:hAnsi="Times New Roman" w:eastAsia="仿宋_GB2312" w:cs="Times New Roman"/>
          <w:sz w:val="32"/>
          <w:szCs w:val="32"/>
          <w:lang w:val="en-US" w:eastAsia="zh-CN"/>
        </w:rPr>
        <w:t>1712.65</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1463.87</w:t>
      </w:r>
      <w:r>
        <w:rPr>
          <w:rFonts w:hint="default" w:ascii="Times New Roman" w:hAnsi="Times New Roman" w:eastAsia="仿宋_GB2312" w:cs="Times New Roman"/>
          <w:sz w:val="32"/>
          <w:szCs w:val="32"/>
        </w:rPr>
        <w:t>万元，占8</w:t>
      </w:r>
      <w:r>
        <w:rPr>
          <w:rFonts w:hint="default" w:ascii="Times New Roman" w:hAnsi="Times New Roman" w:eastAsia="仿宋_GB2312" w:cs="Times New Roman"/>
          <w:sz w:val="32"/>
          <w:szCs w:val="32"/>
          <w:lang w:val="en-US" w:eastAsia="zh-CN"/>
        </w:rPr>
        <w:t>5.47</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248.78</w:t>
      </w:r>
      <w:r>
        <w:rPr>
          <w:rFonts w:hint="default" w:ascii="Times New Roman" w:hAnsi="Times New Roman" w:eastAsia="仿宋_GB2312" w:cs="Times New Roman"/>
          <w:sz w:val="32"/>
          <w:szCs w:val="32"/>
        </w:rPr>
        <w:t>万元，占1</w:t>
      </w:r>
      <w:r>
        <w:rPr>
          <w:rFonts w:hint="default" w:ascii="Times New Roman" w:hAnsi="Times New Roman" w:eastAsia="仿宋_GB2312" w:cs="Times New Roman"/>
          <w:sz w:val="32"/>
          <w:szCs w:val="32"/>
          <w:lang w:val="en-US" w:eastAsia="zh-CN"/>
        </w:rPr>
        <w:t>4.53</w:t>
      </w:r>
      <w:r>
        <w:rPr>
          <w:rFonts w:hint="default" w:ascii="Times New Roman" w:hAnsi="Times New Roman" w:eastAsia="仿宋_GB2312" w:cs="Times New Roman"/>
          <w:sz w:val="32"/>
          <w:szCs w:val="32"/>
        </w:rPr>
        <w:t>%；上缴上级支出0万元，占0%；经营支出0万元，占0%；对附属单位补助支出0万元，占0%。</w:t>
      </w:r>
    </w:p>
    <w:p>
      <w:pPr>
        <w:pStyle w:val="2"/>
        <w:jc w:val="center"/>
      </w:pPr>
      <w: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exact"/>
        <w:textAlignment w:val="auto"/>
        <w:outlineLvl w:val="1"/>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（注：数据来源于财决04表，仅罗列本部门涉及的支出。）</w:t>
      </w:r>
    </w:p>
    <w:p>
      <w:pPr>
        <w:pageBreakBefore w:val="0"/>
        <w:kinsoku/>
        <w:wordWrap/>
        <w:overflowPunct/>
        <w:topLinePunct w:val="0"/>
        <w:bidi w:val="0"/>
        <w:spacing w:line="576"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（图3：支出决算结构图）（饼状图）</w:t>
      </w:r>
    </w:p>
    <w:p>
      <w:pPr>
        <w:pageBreakBefore w:val="0"/>
        <w:kinsoku/>
        <w:wordWrap/>
        <w:overflowPunct/>
        <w:topLinePunct w:val="0"/>
        <w:bidi w:val="0"/>
        <w:spacing w:line="576" w:lineRule="exact"/>
        <w:ind w:firstLine="640" w:firstLineChars="200"/>
        <w:textAlignment w:val="auto"/>
        <w:outlineLvl w:val="1"/>
        <w:rPr>
          <w:rStyle w:val="35"/>
          <w:rFonts w:ascii="黑体" w:hAnsi="黑体" w:eastAsia="黑体"/>
          <w:b w:val="0"/>
        </w:rPr>
      </w:pPr>
      <w:bookmarkStart w:id="22" w:name="_Toc15377208"/>
      <w:bookmarkStart w:id="23" w:name="_Toc15396606"/>
      <w:r>
        <w:rPr>
          <w:rFonts w:hint="eastAsia" w:ascii="黑体" w:hAnsi="黑体" w:eastAsia="黑体"/>
          <w:sz w:val="32"/>
          <w:szCs w:val="32"/>
        </w:rPr>
        <w:t>四、财</w:t>
      </w:r>
      <w:r>
        <w:rPr>
          <w:rStyle w:val="35"/>
          <w:rFonts w:hint="eastAsia" w:ascii="黑体" w:hAnsi="黑体" w:eastAsia="黑体"/>
          <w:b w:val="0"/>
        </w:rPr>
        <w:t>政拨款收入支出决算总体情况说明</w:t>
      </w:r>
      <w:bookmarkEnd w:id="22"/>
      <w:bookmarkEnd w:id="23"/>
    </w:p>
    <w:p>
      <w:pPr>
        <w:pageBreakBefore w:val="0"/>
        <w:kinsoku/>
        <w:wordWrap/>
        <w:overflowPunct/>
        <w:topLinePunct w:val="0"/>
        <w:bidi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年度财政拨款收、支总计均为17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年度相比，财政拨款收、支总计各</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65.47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3.68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2024年度人员变动</w:t>
      </w:r>
      <w:r>
        <w:rPr>
          <w:rFonts w:hint="default" w:ascii="Times New Roman" w:hAnsi="Times New Roman" w:eastAsia="仿宋_GB2312" w:cs="Times New Roman"/>
          <w:sz w:val="32"/>
          <w:szCs w:val="32"/>
        </w:rPr>
        <w:t>。</w:t>
      </w:r>
    </w:p>
    <w:p>
      <w:pPr>
        <w:pStyle w:val="2"/>
        <w:jc w:val="center"/>
      </w:pPr>
      <w:r>
        <w:drawing>
          <wp:inline distT="0" distB="0" distL="114300" distR="114300">
            <wp:extent cx="5172710" cy="3418840"/>
            <wp:effectExtent l="4445" t="4445" r="23495" b="571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exact"/>
        <w:ind w:firstLine="320" w:firstLineChars="100"/>
        <w:textAlignment w:val="auto"/>
        <w:rPr>
          <w:rFonts w:ascii="仿宋" w:hAnsi="仿宋" w:eastAsia="仿宋"/>
          <w:b/>
          <w:sz w:val="32"/>
          <w:szCs w:val="32"/>
        </w:rPr>
      </w:pPr>
      <w:r>
        <w:rPr>
          <w:rFonts w:hint="default" w:ascii="Times New Roman" w:hAnsi="Times New Roman" w:eastAsia="仿宋_GB2312" w:cs="Times New Roman"/>
          <w:sz w:val="32"/>
          <w:szCs w:val="32"/>
        </w:rPr>
        <w:t>（图4：财政拨款收、支决算总计变动情况）（柱状图）</w:t>
      </w:r>
    </w:p>
    <w:p>
      <w:pPr>
        <w:pageBreakBefore w:val="0"/>
        <w:kinsoku/>
        <w:wordWrap/>
        <w:overflowPunct/>
        <w:topLinePunct w:val="0"/>
        <w:bidi w:val="0"/>
        <w:spacing w:line="576" w:lineRule="exact"/>
        <w:ind w:firstLine="640" w:firstLineChars="200"/>
        <w:textAlignment w:val="auto"/>
        <w:outlineLvl w:val="1"/>
        <w:rPr>
          <w:rStyle w:val="35"/>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35"/>
          <w:rFonts w:hint="eastAsia" w:ascii="黑体" w:hAnsi="黑体" w:eastAsia="黑体"/>
          <w:b w:val="0"/>
        </w:rPr>
        <w:t>般公共预算财政拨款支出决算情况说明</w:t>
      </w:r>
      <w:bookmarkEnd w:id="24"/>
      <w:bookmarkEnd w:id="25"/>
    </w:p>
    <w:p>
      <w:pPr>
        <w:keepNext w:val="0"/>
        <w:keepLines w:val="0"/>
        <w:pageBreakBefore w:val="0"/>
        <w:widowControl/>
        <w:kinsoku/>
        <w:wordWrap/>
        <w:overflowPunct/>
        <w:topLinePunct w:val="0"/>
        <w:autoSpaceDE/>
        <w:autoSpaceDN/>
        <w:bidi w:val="0"/>
        <w:spacing w:line="576" w:lineRule="exact"/>
        <w:ind w:firstLine="643"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6" w:name="_Toc15377210"/>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（一）一般公共预算财政拨款支出决算总体情况</w:t>
      </w:r>
      <w:bookmarkEnd w:id="26"/>
    </w:p>
    <w:p>
      <w:pPr>
        <w:pageBreakBefore w:val="0"/>
        <w:kinsoku/>
        <w:wordWrap/>
        <w:overflowPunct/>
        <w:topLinePunct w:val="0"/>
        <w:bidi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年度一般公共预算财政拨款支出17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万元，占本年支出合计的100%。与202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年度相比，财政拨款收、支总计各</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65.47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3.68</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2024年度人员变化大</w:t>
      </w:r>
      <w:r>
        <w:rPr>
          <w:rFonts w:hint="default" w:ascii="Times New Roman" w:hAnsi="Times New Roman" w:eastAsia="仿宋_GB2312" w:cs="Times New Roman"/>
          <w:sz w:val="32"/>
          <w:szCs w:val="32"/>
        </w:rPr>
        <w:t>。</w:t>
      </w:r>
    </w:p>
    <w:p>
      <w:pPr>
        <w:pStyle w:val="2"/>
        <w:jc w:val="center"/>
      </w:pPr>
      <w:r>
        <w:drawing>
          <wp:inline distT="0" distB="0" distL="114300" distR="114300">
            <wp:extent cx="5172710" cy="3418840"/>
            <wp:effectExtent l="4445" t="4445" r="23495" b="571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（图5：一般公共预算财政拨款支出决算变动情况）（柱状图）</w:t>
      </w:r>
    </w:p>
    <w:p>
      <w:pPr>
        <w:keepNext w:val="0"/>
        <w:keepLines w:val="0"/>
        <w:pageBreakBefore w:val="0"/>
        <w:widowControl/>
        <w:kinsoku/>
        <w:wordWrap/>
        <w:overflowPunct/>
        <w:topLinePunct w:val="0"/>
        <w:autoSpaceDE/>
        <w:autoSpaceDN/>
        <w:bidi w:val="0"/>
        <w:spacing w:line="576" w:lineRule="exact"/>
        <w:ind w:firstLine="643"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7" w:name="_Toc15377211"/>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（二）一般公共预算财政拨款支出决算结构情况</w:t>
      </w:r>
      <w:bookmarkEnd w:id="27"/>
    </w:p>
    <w:p>
      <w:pPr>
        <w:pageBreakBefore w:val="0"/>
        <w:kinsoku/>
        <w:wordWrap/>
        <w:overflowPunct/>
        <w:topLinePunct w:val="0"/>
        <w:bidi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年度一般公共预算财政拨款支出17</w:t>
      </w:r>
      <w:r>
        <w:rPr>
          <w:rFonts w:hint="default" w:ascii="Times New Roman" w:hAnsi="Times New Roman" w:eastAsia="仿宋_GB2312" w:cs="Times New Roman"/>
          <w:sz w:val="32"/>
          <w:szCs w:val="32"/>
          <w:lang w:val="en-US" w:eastAsia="zh-CN"/>
        </w:rPr>
        <w:t>12.65</w:t>
      </w:r>
      <w:r>
        <w:rPr>
          <w:rFonts w:hint="default" w:ascii="Times New Roman" w:hAnsi="Times New Roman" w:eastAsia="仿宋_GB2312" w:cs="Times New Roman"/>
          <w:sz w:val="32"/>
          <w:szCs w:val="32"/>
        </w:rPr>
        <w:t>万元，主要用于以下方面:</w:t>
      </w:r>
      <w:r>
        <w:rPr>
          <w:rFonts w:hint="default" w:ascii="Times New Roman" w:hAnsi="Times New Roman" w:eastAsia="仿宋_GB2312" w:cs="Times New Roman"/>
          <w:b/>
          <w:sz w:val="32"/>
          <w:szCs w:val="32"/>
        </w:rPr>
        <w:t>一般公共服务</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1277.1</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74.57</w:t>
      </w:r>
      <w:r>
        <w:rPr>
          <w:rFonts w:hint="default" w:ascii="Times New Roman" w:hAnsi="Times New Roman" w:eastAsia="仿宋_GB2312" w:cs="Times New Roman"/>
          <w:sz w:val="32"/>
          <w:szCs w:val="32"/>
        </w:rPr>
        <w:t>%；</w:t>
      </w:r>
      <w:r>
        <w:rPr>
          <w:rFonts w:hint="default" w:ascii="Times New Roman" w:hAnsi="Times New Roman" w:eastAsia="仿宋_GB2312" w:cs="Times New Roman"/>
          <w:b/>
          <w:sz w:val="32"/>
          <w:szCs w:val="32"/>
        </w:rPr>
        <w:t>社会保障和就业</w:t>
      </w:r>
      <w:r>
        <w:rPr>
          <w:rFonts w:hint="default" w:ascii="Times New Roman" w:hAnsi="Times New Roman" w:eastAsia="仿宋_GB2312" w:cs="Times New Roman"/>
          <w:b/>
          <w:bCs/>
          <w:sz w:val="32"/>
          <w:szCs w:val="32"/>
        </w:rPr>
        <w:t>支出</w:t>
      </w:r>
      <w:r>
        <w:rPr>
          <w:rFonts w:hint="default" w:ascii="Times New Roman" w:hAnsi="Times New Roman" w:eastAsia="仿宋_GB2312" w:cs="Times New Roman"/>
          <w:sz w:val="32"/>
          <w:szCs w:val="32"/>
          <w:lang w:val="en-US" w:eastAsia="zh-CN"/>
        </w:rPr>
        <w:t>266.27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15.55</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卫生健康支出</w:t>
      </w:r>
      <w:r>
        <w:rPr>
          <w:rFonts w:hint="default" w:ascii="Times New Roman" w:hAnsi="Times New Roman" w:eastAsia="仿宋_GB2312" w:cs="Times New Roman"/>
          <w:sz w:val="32"/>
          <w:szCs w:val="32"/>
          <w:lang w:val="en-US" w:eastAsia="zh-CN"/>
        </w:rPr>
        <w:t>71.74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1.01万元，占0.06%；</w:t>
      </w:r>
      <w:r>
        <w:rPr>
          <w:rFonts w:hint="default" w:ascii="Times New Roman" w:hAnsi="Times New Roman" w:eastAsia="仿宋_GB2312" w:cs="Times New Roman"/>
          <w:b/>
          <w:bCs/>
          <w:sz w:val="32"/>
          <w:szCs w:val="32"/>
        </w:rPr>
        <w:t>住房保障支出</w:t>
      </w:r>
      <w:r>
        <w:rPr>
          <w:rFonts w:hint="default" w:ascii="Times New Roman" w:hAnsi="Times New Roman" w:eastAsia="仿宋_GB2312" w:cs="Times New Roman"/>
          <w:sz w:val="32"/>
          <w:szCs w:val="32"/>
          <w:lang w:val="en-US" w:eastAsia="zh-CN"/>
        </w:rPr>
        <w:t>96.54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5.64</w:t>
      </w:r>
      <w:r>
        <w:rPr>
          <w:rFonts w:hint="default" w:ascii="Times New Roman" w:hAnsi="Times New Roman" w:eastAsia="仿宋_GB2312" w:cs="Times New Roman"/>
          <w:sz w:val="32"/>
          <w:szCs w:val="32"/>
        </w:rPr>
        <w:t>%。</w:t>
      </w:r>
    </w:p>
    <w:p>
      <w:pPr>
        <w:pStyle w:val="2"/>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b/>
          <w:sz w:val="32"/>
          <w:szCs w:val="32"/>
        </w:rPr>
        <w:t>（注：数据来源于财决01-1表，仅罗列本部门涉及的全部功能分类科目，至类级。）</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pPr>
        <w:keepNext w:val="0"/>
        <w:keepLines w:val="0"/>
        <w:pageBreakBefore w:val="0"/>
        <w:widowControl/>
        <w:kinsoku/>
        <w:wordWrap/>
        <w:overflowPunct/>
        <w:topLinePunct w:val="0"/>
        <w:autoSpaceDE/>
        <w:autoSpaceDN/>
        <w:bidi w:val="0"/>
        <w:spacing w:line="576" w:lineRule="exact"/>
        <w:ind w:firstLine="643"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8" w:name="_Toc15377212"/>
      <w:r>
        <w:rPr>
          <w:rFonts w:hint="eastAsia" w:ascii="楷体_GB2312" w:hAnsi="楷体_GB2312" w:eastAsia="楷体_GB2312" w:cs="楷体_GB2312"/>
          <w:b/>
          <w:bCs/>
          <w:color w:val="000000" w:themeColor="text1"/>
          <w:sz w:val="32"/>
          <w:szCs w:val="32"/>
          <w:shd w:val="clear" w:color="auto" w:fill="FFFFFF"/>
          <w14:textFill>
            <w14:solidFill>
              <w14:schemeClr w14:val="tx1"/>
            </w14:solidFill>
          </w14:textFill>
        </w:rPr>
        <w:t>（三）一般公共预算财政拨款支出决算具体情况</w:t>
      </w:r>
      <w:bookmarkEnd w:id="28"/>
    </w:p>
    <w:p>
      <w:pPr>
        <w:keepNext w:val="0"/>
        <w:keepLines w:val="0"/>
        <w:pageBreakBefore w:val="0"/>
        <w:widowControl/>
        <w:kinsoku/>
        <w:wordWrap/>
        <w:overflowPunct/>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bookmarkStart w:id="29" w:name="_Toc15378460"/>
      <w:bookmarkStart w:id="30" w:name="_Toc15377213"/>
      <w:bookmarkStart w:id="31" w:name="_Toc15377444"/>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年度一般公共预算支出决算数为</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1712.65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，完成预算</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111.11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%。其中：</w:t>
      </w:r>
      <w:bookmarkEnd w:id="29"/>
      <w:bookmarkEnd w:id="30"/>
      <w:bookmarkEnd w:id="31"/>
    </w:p>
    <w:p>
      <w:pPr>
        <w:pageBreakBefore w:val="0"/>
        <w:widowControl/>
        <w:kinsoku/>
        <w:wordWrap/>
        <w:overflowPunct/>
        <w:topLinePunct w:val="0"/>
        <w:bidi w:val="0"/>
        <w:spacing w:line="576" w:lineRule="exact"/>
        <w:ind w:firstLine="643" w:firstLineChars="200"/>
        <w:contextualSpacing/>
        <w:textAlignment w:val="auto"/>
        <w:rPr>
          <w:rFonts w:hint="default" w:ascii="Times New Roman" w:hAnsi="Times New Roman" w:eastAsia="仿宋_GB2312" w:cs="Times New Roman"/>
          <w:b/>
          <w:sz w:val="32"/>
          <w:szCs w:val="32"/>
        </w:rPr>
      </w:pPr>
      <w:r>
        <w:rPr>
          <w:rStyle w:val="20"/>
          <w:rFonts w:hint="default" w:ascii="Times New Roman" w:hAnsi="Times New Roman" w:eastAsia="仿宋_GB2312" w:cs="Times New Roman"/>
          <w:bCs/>
          <w:sz w:val="32"/>
          <w:szCs w:val="32"/>
        </w:rPr>
        <w:t>1.一般公共服务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人大事务</w:t>
      </w:r>
      <w:r>
        <w:rPr>
          <w:rStyle w:val="20"/>
          <w:rFonts w:hint="default" w:ascii="Times New Roman" w:hAnsi="Times New Roman" w:eastAsia="仿宋_GB2312" w:cs="Times New Roman"/>
          <w:bCs/>
          <w:sz w:val="32"/>
          <w:szCs w:val="32"/>
        </w:rPr>
        <w:t>（款）行政运行（项）:</w:t>
      </w:r>
      <w:r>
        <w:rPr>
          <w:rStyle w:val="20"/>
          <w:rFonts w:hint="default" w:ascii="Times New Roman" w:hAnsi="Times New Roman" w:eastAsia="仿宋_GB2312" w:cs="Times New Roman"/>
          <w:b w:val="0"/>
          <w:bCs/>
          <w:sz w:val="32"/>
          <w:szCs w:val="32"/>
        </w:rPr>
        <w:t xml:space="preserve"> 支出</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决算</w:t>
      </w:r>
      <w:r>
        <w:rPr>
          <w:rStyle w:val="20"/>
          <w:rFonts w:hint="default" w:ascii="Times New Roman" w:hAnsi="Times New Roman" w:eastAsia="仿宋_GB2312" w:cs="Times New Roman"/>
          <w:b w:val="0"/>
          <w:bCs/>
          <w:sz w:val="32"/>
          <w:szCs w:val="32"/>
        </w:rPr>
        <w:t>为</w:t>
      </w:r>
      <w:r>
        <w:rPr>
          <w:rStyle w:val="20"/>
          <w:rFonts w:hint="default" w:ascii="Times New Roman" w:hAnsi="Times New Roman" w:eastAsia="仿宋_GB2312" w:cs="Times New Roman"/>
          <w:b w:val="0"/>
          <w:bCs/>
          <w:sz w:val="32"/>
          <w:szCs w:val="32"/>
          <w:lang w:val="en-US" w:eastAsia="zh-CN"/>
        </w:rPr>
        <w:t>6.4</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100</w:t>
      </w:r>
      <w:r>
        <w:rPr>
          <w:rStyle w:val="20"/>
          <w:rFonts w:hint="default" w:ascii="Times New Roman" w:hAnsi="Times New Roman" w:eastAsia="仿宋_GB2312" w:cs="Times New Roman"/>
          <w:b w:val="0"/>
          <w:bCs/>
          <w:sz w:val="32"/>
          <w:szCs w:val="32"/>
        </w:rPr>
        <w:t>%，</w:t>
      </w:r>
      <w:r>
        <w:rPr>
          <w:rStyle w:val="20"/>
          <w:rFonts w:hint="default" w:ascii="Times New Roman" w:hAnsi="Times New Roman" w:eastAsia="仿宋_GB2312" w:cs="Times New Roman"/>
          <w:b w:val="0"/>
          <w:bCs/>
          <w:sz w:val="32"/>
          <w:szCs w:val="32"/>
          <w:lang w:eastAsia="zh-CN"/>
        </w:rPr>
        <w:t>该资金主要为年初预扣</w:t>
      </w:r>
      <w:r>
        <w:rPr>
          <w:rStyle w:val="20"/>
          <w:rFonts w:hint="default" w:ascii="Times New Roman" w:hAnsi="Times New Roman" w:eastAsia="仿宋_GB2312" w:cs="Times New Roman"/>
          <w:b w:val="0"/>
          <w:bCs/>
          <w:sz w:val="32"/>
          <w:szCs w:val="32"/>
          <w:lang w:val="en-US" w:eastAsia="zh-CN"/>
        </w:rPr>
        <w:t>2023年度残疾人保证金，2024年度我单位有两名残疾人干部，未缴纳该资金，调剂为其余资金使用</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0"/>
          <w:rFonts w:hint="default" w:ascii="Times New Roman" w:hAnsi="Times New Roman" w:eastAsia="仿宋_GB2312" w:cs="Times New Roman"/>
          <w:bCs/>
          <w:sz w:val="32"/>
          <w:szCs w:val="32"/>
          <w:lang w:val="en-US" w:eastAsia="zh-CN"/>
        </w:rPr>
        <w:t>2</w:t>
      </w:r>
      <w:r>
        <w:rPr>
          <w:rStyle w:val="20"/>
          <w:rFonts w:hint="default" w:ascii="Times New Roman" w:hAnsi="Times New Roman" w:eastAsia="仿宋_GB2312" w:cs="Times New Roman"/>
          <w:bCs/>
          <w:sz w:val="32"/>
          <w:szCs w:val="32"/>
        </w:rPr>
        <w:t>.一般公共服务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（类）纪检监察事务（款）行政运行（项）:</w:t>
      </w:r>
      <w:r>
        <w:rPr>
          <w:rStyle w:val="20"/>
          <w:rFonts w:hint="default" w:ascii="Times New Roman" w:hAnsi="Times New Roman" w:eastAsia="仿宋_GB2312" w:cs="Times New Roman"/>
          <w:b w:val="0"/>
          <w:bCs/>
          <w:sz w:val="32"/>
          <w:szCs w:val="32"/>
        </w:rPr>
        <w:t xml:space="preserve"> 支出决算为</w:t>
      </w:r>
      <w:r>
        <w:rPr>
          <w:rStyle w:val="20"/>
          <w:rFonts w:hint="default" w:ascii="Times New Roman" w:hAnsi="Times New Roman" w:eastAsia="仿宋_GB2312" w:cs="Times New Roman"/>
          <w:b w:val="0"/>
          <w:bCs/>
          <w:sz w:val="32"/>
          <w:szCs w:val="32"/>
          <w:lang w:val="en-US" w:eastAsia="zh-CN"/>
        </w:rPr>
        <w:t>987.88</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94.99</w:t>
      </w:r>
      <w:r>
        <w:rPr>
          <w:rStyle w:val="20"/>
          <w:rFonts w:hint="default" w:ascii="Times New Roman" w:hAnsi="Times New Roman" w:eastAsia="仿宋_GB2312" w:cs="Times New Roman"/>
          <w:b w:val="0"/>
          <w:bCs/>
          <w:sz w:val="32"/>
          <w:szCs w:val="32"/>
        </w:rPr>
        <w:t>%，决算数小于预算数的主要原因是</w:t>
      </w:r>
      <w:r>
        <w:rPr>
          <w:rFonts w:hint="default" w:ascii="Times New Roman" w:hAnsi="Times New Roman" w:eastAsia="仿宋_GB2312" w:cs="Times New Roman"/>
          <w:sz w:val="32"/>
          <w:szCs w:val="32"/>
          <w:lang w:val="en-US" w:eastAsia="zh-CN"/>
        </w:rPr>
        <w:t>2024年度人员变动</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rPr>
      </w:pPr>
      <w:r>
        <w:rPr>
          <w:rStyle w:val="20"/>
          <w:rFonts w:hint="default" w:ascii="Times New Roman" w:hAnsi="Times New Roman" w:eastAsia="仿宋_GB2312" w:cs="Times New Roman"/>
          <w:bCs/>
          <w:sz w:val="32"/>
          <w:szCs w:val="32"/>
          <w:lang w:val="en-US" w:eastAsia="zh-CN"/>
        </w:rPr>
        <w:t>3</w:t>
      </w:r>
      <w:r>
        <w:rPr>
          <w:rStyle w:val="20"/>
          <w:rFonts w:hint="default" w:ascii="Times New Roman" w:hAnsi="Times New Roman" w:eastAsia="仿宋_GB2312" w:cs="Times New Roman"/>
          <w:bCs/>
          <w:sz w:val="32"/>
          <w:szCs w:val="32"/>
        </w:rPr>
        <w:t>.一般公共服务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（类）纪检监察事务（款）</w:t>
      </w:r>
      <w:r>
        <w:rPr>
          <w:rStyle w:val="20"/>
          <w:rFonts w:hint="default" w:ascii="Times New Roman" w:hAnsi="Times New Roman" w:eastAsia="仿宋_GB2312" w:cs="Times New Roman"/>
          <w:bCs/>
          <w:sz w:val="32"/>
          <w:szCs w:val="32"/>
          <w:lang w:eastAsia="zh-CN"/>
        </w:rPr>
        <w:t>一般行政管理事务</w:t>
      </w:r>
      <w:r>
        <w:rPr>
          <w:rStyle w:val="20"/>
          <w:rFonts w:hint="default" w:ascii="Times New Roman" w:hAnsi="Times New Roman" w:eastAsia="仿宋_GB2312" w:cs="Times New Roman"/>
          <w:bCs/>
          <w:sz w:val="32"/>
          <w:szCs w:val="32"/>
        </w:rPr>
        <w:t>（项）:</w:t>
      </w:r>
      <w:r>
        <w:rPr>
          <w:rStyle w:val="20"/>
          <w:rFonts w:hint="default" w:ascii="Times New Roman" w:hAnsi="Times New Roman" w:eastAsia="仿宋_GB2312" w:cs="Times New Roman"/>
          <w:b w:val="0"/>
          <w:bCs/>
          <w:sz w:val="32"/>
          <w:szCs w:val="32"/>
        </w:rPr>
        <w:t xml:space="preserve"> 支出决算为</w:t>
      </w:r>
      <w:r>
        <w:rPr>
          <w:rStyle w:val="20"/>
          <w:rFonts w:hint="default" w:ascii="Times New Roman" w:hAnsi="Times New Roman" w:eastAsia="仿宋_GB2312" w:cs="Times New Roman"/>
          <w:b w:val="0"/>
          <w:bCs/>
          <w:sz w:val="32"/>
          <w:szCs w:val="32"/>
          <w:lang w:val="en-US" w:eastAsia="zh-CN"/>
        </w:rPr>
        <w:t>115.01</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149.15</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大</w:t>
      </w:r>
      <w:r>
        <w:rPr>
          <w:rStyle w:val="20"/>
          <w:rFonts w:hint="default" w:ascii="Times New Roman" w:hAnsi="Times New Roman" w:eastAsia="仿宋_GB2312" w:cs="Times New Roman"/>
          <w:b w:val="0"/>
          <w:bCs/>
          <w:sz w:val="32"/>
          <w:szCs w:val="32"/>
        </w:rPr>
        <w:t>于预算数的主要原因是</w:t>
      </w:r>
      <w:r>
        <w:rPr>
          <w:rFonts w:hint="default" w:ascii="Times New Roman" w:hAnsi="Times New Roman" w:eastAsia="仿宋_GB2312" w:cs="Times New Roman"/>
          <w:sz w:val="32"/>
          <w:szCs w:val="32"/>
          <w:lang w:val="en-US" w:eastAsia="zh-CN"/>
        </w:rPr>
        <w:t>2024年度人员变动</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0"/>
          <w:rFonts w:hint="default" w:ascii="Times New Roman" w:hAnsi="Times New Roman" w:eastAsia="仿宋_GB2312" w:cs="Times New Roman"/>
          <w:bCs/>
          <w:sz w:val="32"/>
          <w:szCs w:val="32"/>
          <w:lang w:val="en-US" w:eastAsia="zh-CN"/>
        </w:rPr>
        <w:t>4</w:t>
      </w:r>
      <w:r>
        <w:rPr>
          <w:rStyle w:val="20"/>
          <w:rFonts w:hint="default" w:ascii="Times New Roman" w:hAnsi="Times New Roman" w:eastAsia="仿宋_GB2312" w:cs="Times New Roman"/>
          <w:bCs/>
          <w:sz w:val="32"/>
          <w:szCs w:val="32"/>
        </w:rPr>
        <w:t>.一般公共服务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（类）纪检监察事务（款）</w:t>
      </w:r>
      <w:r>
        <w:rPr>
          <w:rStyle w:val="20"/>
          <w:rFonts w:hint="default" w:ascii="Times New Roman" w:hAnsi="Times New Roman" w:eastAsia="仿宋_GB2312" w:cs="Times New Roman"/>
          <w:bCs/>
          <w:sz w:val="32"/>
          <w:szCs w:val="32"/>
          <w:lang w:eastAsia="zh-CN"/>
        </w:rPr>
        <w:t>大案要案查处（项）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 w:val="0"/>
          <w:bCs/>
          <w:sz w:val="32"/>
          <w:szCs w:val="32"/>
        </w:rPr>
        <w:t xml:space="preserve"> 支出决算为</w:t>
      </w:r>
      <w:r>
        <w:rPr>
          <w:rStyle w:val="20"/>
          <w:rFonts w:hint="default" w:ascii="Times New Roman" w:hAnsi="Times New Roman" w:eastAsia="仿宋_GB2312" w:cs="Times New Roman"/>
          <w:b w:val="0"/>
          <w:bCs/>
          <w:sz w:val="32"/>
          <w:szCs w:val="32"/>
          <w:lang w:val="en-US" w:eastAsia="zh-CN"/>
        </w:rPr>
        <w:t>86</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0</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大</w:t>
      </w:r>
      <w:r>
        <w:rPr>
          <w:rStyle w:val="20"/>
          <w:rFonts w:hint="default" w:ascii="Times New Roman" w:hAnsi="Times New Roman" w:eastAsia="仿宋_GB2312" w:cs="Times New Roman"/>
          <w:b w:val="0"/>
          <w:bCs/>
          <w:sz w:val="32"/>
          <w:szCs w:val="32"/>
        </w:rPr>
        <w:t>于预算数的主要原因是</w:t>
      </w:r>
      <w:r>
        <w:rPr>
          <w:rStyle w:val="20"/>
          <w:rFonts w:hint="default" w:ascii="Times New Roman" w:hAnsi="Times New Roman" w:eastAsia="仿宋_GB2312" w:cs="Times New Roman"/>
          <w:b w:val="0"/>
          <w:bCs/>
          <w:sz w:val="32"/>
          <w:szCs w:val="32"/>
          <w:lang w:val="en-US" w:eastAsia="zh-CN"/>
        </w:rPr>
        <w:t>2024年度大案要案项目较2023年度有所减少，该项目年初无预算，按照实际支出中途追加项目预算</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0"/>
          <w:rFonts w:hint="default" w:ascii="Times New Roman" w:hAnsi="Times New Roman" w:eastAsia="仿宋_GB2312" w:cs="Times New Roman"/>
          <w:bCs/>
          <w:sz w:val="32"/>
          <w:szCs w:val="32"/>
          <w:lang w:val="en-US" w:eastAsia="zh-CN"/>
        </w:rPr>
        <w:t>5</w:t>
      </w:r>
      <w:r>
        <w:rPr>
          <w:rStyle w:val="20"/>
          <w:rFonts w:hint="default" w:ascii="Times New Roman" w:hAnsi="Times New Roman" w:eastAsia="仿宋_GB2312" w:cs="Times New Roman"/>
          <w:bCs/>
          <w:sz w:val="32"/>
          <w:szCs w:val="32"/>
        </w:rPr>
        <w:t>.一般公共服务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（类）纪检监察事务（款）</w:t>
      </w:r>
      <w:r>
        <w:rPr>
          <w:rStyle w:val="20"/>
          <w:rFonts w:hint="default" w:ascii="Times New Roman" w:hAnsi="Times New Roman" w:eastAsia="仿宋_GB2312" w:cs="Times New Roman"/>
          <w:bCs/>
          <w:sz w:val="32"/>
          <w:szCs w:val="32"/>
          <w:lang w:eastAsia="zh-CN"/>
        </w:rPr>
        <w:t>巡视工作</w:t>
      </w:r>
      <w:r>
        <w:rPr>
          <w:rStyle w:val="20"/>
          <w:rFonts w:hint="default" w:ascii="Times New Roman" w:hAnsi="Times New Roman" w:eastAsia="仿宋_GB2312" w:cs="Times New Roman"/>
          <w:bCs/>
          <w:sz w:val="32"/>
          <w:szCs w:val="32"/>
        </w:rPr>
        <w:t>（项）:</w:t>
      </w:r>
      <w:r>
        <w:rPr>
          <w:rStyle w:val="20"/>
          <w:rFonts w:hint="default" w:ascii="Times New Roman" w:hAnsi="Times New Roman" w:eastAsia="仿宋_GB2312" w:cs="Times New Roman"/>
          <w:b w:val="0"/>
          <w:bCs/>
          <w:sz w:val="32"/>
          <w:szCs w:val="32"/>
        </w:rPr>
        <w:t xml:space="preserve"> 支出决算为</w:t>
      </w:r>
      <w:r>
        <w:rPr>
          <w:rStyle w:val="20"/>
          <w:rFonts w:hint="default" w:ascii="Times New Roman" w:hAnsi="Times New Roman" w:eastAsia="仿宋_GB2312" w:cs="Times New Roman"/>
          <w:b w:val="0"/>
          <w:bCs/>
          <w:sz w:val="32"/>
          <w:szCs w:val="32"/>
          <w:lang w:val="en-US" w:eastAsia="zh-CN"/>
        </w:rPr>
        <w:t>43.88</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335.48</w:t>
      </w:r>
      <w:r>
        <w:rPr>
          <w:rStyle w:val="20"/>
          <w:rFonts w:hint="default" w:ascii="Times New Roman" w:hAnsi="Times New Roman" w:eastAsia="仿宋_GB2312" w:cs="Times New Roman"/>
          <w:b w:val="0"/>
          <w:bCs/>
          <w:sz w:val="32"/>
          <w:szCs w:val="32"/>
        </w:rPr>
        <w:t>%</w:t>
      </w:r>
      <w:r>
        <w:rPr>
          <w:rStyle w:val="20"/>
          <w:rFonts w:hint="default" w:ascii="Times New Roman" w:hAnsi="Times New Roman" w:eastAsia="仿宋_GB2312" w:cs="Times New Roman"/>
          <w:b w:val="0"/>
          <w:bCs/>
          <w:sz w:val="32"/>
          <w:szCs w:val="32"/>
          <w:lang w:eastAsia="zh-CN"/>
        </w:rPr>
        <w:t>，</w:t>
      </w:r>
      <w:r>
        <w:rPr>
          <w:rStyle w:val="20"/>
          <w:rFonts w:hint="default" w:ascii="Times New Roman" w:hAnsi="Times New Roman" w:eastAsia="仿宋_GB2312" w:cs="Times New Roman"/>
          <w:b w:val="0"/>
          <w:bCs/>
          <w:sz w:val="32"/>
          <w:szCs w:val="32"/>
          <w:lang w:val="en-US" w:eastAsia="zh-CN"/>
        </w:rPr>
        <w:t>2024年开展巡察、差旅、办公用品等购置费用增多，年初预算13.08万元，剩余资金按照实际需求中途追加</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Style w:val="20"/>
          <w:rFonts w:hint="default" w:ascii="Times New Roman" w:hAnsi="Times New Roman" w:eastAsia="仿宋_GB2312" w:cs="Times New Roman"/>
          <w:bCs/>
          <w:sz w:val="32"/>
          <w:szCs w:val="32"/>
          <w:lang w:val="en-US" w:eastAsia="zh-CN"/>
        </w:rPr>
        <w:t>6</w:t>
      </w:r>
      <w:r>
        <w:rPr>
          <w:rStyle w:val="20"/>
          <w:rFonts w:hint="default" w:ascii="Times New Roman" w:hAnsi="Times New Roman" w:eastAsia="仿宋_GB2312" w:cs="Times New Roman"/>
          <w:bCs/>
          <w:sz w:val="32"/>
          <w:szCs w:val="32"/>
        </w:rPr>
        <w:t>.一般公共服务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（类）纪检监察事务（款）</w:t>
      </w:r>
      <w:r>
        <w:rPr>
          <w:rStyle w:val="20"/>
          <w:rFonts w:hint="default" w:ascii="Times New Roman" w:hAnsi="Times New Roman" w:eastAsia="仿宋_GB2312" w:cs="Times New Roman"/>
          <w:bCs/>
          <w:sz w:val="32"/>
          <w:szCs w:val="32"/>
          <w:lang w:eastAsia="zh-CN"/>
        </w:rPr>
        <w:t>事业运行</w:t>
      </w:r>
      <w:r>
        <w:rPr>
          <w:rStyle w:val="20"/>
          <w:rFonts w:hint="default" w:ascii="Times New Roman" w:hAnsi="Times New Roman" w:eastAsia="仿宋_GB2312" w:cs="Times New Roman"/>
          <w:bCs/>
          <w:sz w:val="32"/>
          <w:szCs w:val="32"/>
        </w:rPr>
        <w:t>项）:</w:t>
      </w:r>
      <w:r>
        <w:rPr>
          <w:rStyle w:val="20"/>
          <w:rFonts w:hint="default" w:ascii="Times New Roman" w:hAnsi="Times New Roman" w:eastAsia="仿宋_GB2312" w:cs="Times New Roman"/>
          <w:b w:val="0"/>
          <w:bCs/>
          <w:sz w:val="32"/>
          <w:szCs w:val="32"/>
        </w:rPr>
        <w:t xml:space="preserve"> 支出决算为</w:t>
      </w:r>
      <w:r>
        <w:rPr>
          <w:rStyle w:val="20"/>
          <w:rFonts w:hint="default" w:ascii="Times New Roman" w:hAnsi="Times New Roman" w:eastAsia="仿宋_GB2312" w:cs="Times New Roman"/>
          <w:b w:val="0"/>
          <w:bCs/>
          <w:sz w:val="32"/>
          <w:szCs w:val="32"/>
          <w:lang w:val="en-US" w:eastAsia="zh-CN"/>
        </w:rPr>
        <w:t>35.05</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119.21</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大于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val="en-US" w:eastAsia="zh-CN"/>
        </w:rPr>
        <w:t>2024年度事业人员正常晋升薪级工资</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rPr>
      </w:pPr>
      <w:r>
        <w:rPr>
          <w:rStyle w:val="20"/>
          <w:rFonts w:hint="default" w:ascii="Times New Roman" w:hAnsi="Times New Roman" w:eastAsia="仿宋_GB2312" w:cs="Times New Roman"/>
          <w:bCs/>
          <w:sz w:val="32"/>
          <w:szCs w:val="32"/>
          <w:lang w:val="en-US" w:eastAsia="zh-CN"/>
        </w:rPr>
        <w:t>7</w:t>
      </w:r>
      <w:r>
        <w:rPr>
          <w:rStyle w:val="20"/>
          <w:rFonts w:hint="default" w:ascii="Times New Roman" w:hAnsi="Times New Roman" w:eastAsia="仿宋_GB2312" w:cs="Times New Roman"/>
          <w:bCs/>
          <w:sz w:val="32"/>
          <w:szCs w:val="32"/>
        </w:rPr>
        <w:t>.一般公共服务</w:t>
      </w:r>
      <w:r>
        <w:rPr>
          <w:rStyle w:val="20"/>
          <w:rFonts w:hint="default" w:ascii="Times New Roman" w:hAnsi="Times New Roman" w:eastAsia="仿宋_GB2312" w:cs="Times New Roman"/>
          <w:bCs/>
          <w:sz w:val="32"/>
          <w:szCs w:val="32"/>
          <w:lang w:eastAsia="zh-CN"/>
        </w:rPr>
        <w:t>支出</w:t>
      </w:r>
      <w:r>
        <w:rPr>
          <w:rStyle w:val="20"/>
          <w:rFonts w:hint="default" w:ascii="Times New Roman" w:hAnsi="Times New Roman" w:eastAsia="仿宋_GB2312" w:cs="Times New Roman"/>
          <w:bCs/>
          <w:sz w:val="32"/>
          <w:szCs w:val="32"/>
        </w:rPr>
        <w:t>（类）纪检监察事务（款）</w:t>
      </w:r>
      <w:r>
        <w:rPr>
          <w:rStyle w:val="20"/>
          <w:rFonts w:hint="default" w:ascii="Times New Roman" w:hAnsi="Times New Roman" w:eastAsia="仿宋_GB2312" w:cs="Times New Roman"/>
          <w:bCs/>
          <w:sz w:val="32"/>
          <w:szCs w:val="32"/>
          <w:lang w:eastAsia="zh-CN"/>
        </w:rPr>
        <w:t>其他纪检监察事务支出（项）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2.87</w:t>
      </w:r>
      <w:r>
        <w:rPr>
          <w:rStyle w:val="20"/>
          <w:rFonts w:hint="default" w:ascii="Times New Roman" w:hAnsi="Times New Roman" w:eastAsia="仿宋_GB2312" w:cs="Times New Roman"/>
          <w:b w:val="0"/>
          <w:bCs/>
          <w:sz w:val="32"/>
          <w:szCs w:val="32"/>
        </w:rPr>
        <w:t>万元，</w:t>
      </w:r>
      <w:r>
        <w:rPr>
          <w:rStyle w:val="20"/>
          <w:rFonts w:hint="default" w:ascii="Times New Roman" w:hAnsi="Times New Roman" w:eastAsia="仿宋_GB2312" w:cs="Times New Roman"/>
          <w:b w:val="0"/>
          <w:bCs/>
          <w:sz w:val="32"/>
          <w:szCs w:val="32"/>
          <w:lang w:eastAsia="zh-CN"/>
        </w:rPr>
        <w:t>该资金为项目资金，年初无预算，为上级专项资金下拨</w:t>
      </w:r>
      <w:r>
        <w:rPr>
          <w:rStyle w:val="20"/>
          <w:rFonts w:hint="default" w:ascii="Times New Roman" w:hAnsi="Times New Roman" w:eastAsia="仿宋_GB2312" w:cs="Times New Roman"/>
          <w:b w:val="0"/>
          <w:bCs/>
          <w:sz w:val="32"/>
          <w:szCs w:val="32"/>
          <w:lang w:val="en-US" w:eastAsia="zh-CN"/>
        </w:rPr>
        <w:t>14万元，2024年按照实际进度支出2.87万元</w:t>
      </w:r>
      <w:r>
        <w:rPr>
          <w:rStyle w:val="20"/>
          <w:rFonts w:hint="default" w:ascii="Times New Roman" w:hAnsi="Times New Roman" w:eastAsia="仿宋_GB2312" w:cs="Times New Roman"/>
          <w:b w:val="0"/>
          <w:bCs/>
          <w:sz w:val="32"/>
          <w:szCs w:val="32"/>
        </w:rPr>
        <w:t>。</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8.</w:t>
      </w:r>
      <w:r>
        <w:rPr>
          <w:rStyle w:val="20"/>
          <w:rFonts w:hint="default" w:ascii="Times New Roman" w:hAnsi="Times New Roman" w:eastAsia="仿宋_GB2312" w:cs="Times New Roman"/>
          <w:b/>
          <w:bCs w:val="0"/>
          <w:sz w:val="32"/>
          <w:szCs w:val="32"/>
          <w:lang w:eastAsia="zh-CN"/>
        </w:rPr>
        <w:t>社</w:t>
      </w:r>
      <w:r>
        <w:rPr>
          <w:rStyle w:val="20"/>
          <w:rFonts w:hint="default" w:ascii="Times New Roman" w:hAnsi="Times New Roman" w:eastAsia="仿宋_GB2312" w:cs="Times New Roman"/>
          <w:bCs/>
          <w:sz w:val="32"/>
          <w:szCs w:val="32"/>
          <w:lang w:eastAsia="zh-CN"/>
        </w:rPr>
        <w:t>会保障和就业支出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行政事业单位养老支出</w:t>
      </w:r>
      <w:r>
        <w:rPr>
          <w:rStyle w:val="20"/>
          <w:rFonts w:hint="default" w:ascii="Times New Roman" w:hAnsi="Times New Roman" w:eastAsia="仿宋_GB2312" w:cs="Times New Roman"/>
          <w:bCs/>
          <w:sz w:val="32"/>
          <w:szCs w:val="32"/>
        </w:rPr>
        <w:t>（款）</w:t>
      </w:r>
      <w:r>
        <w:rPr>
          <w:rStyle w:val="20"/>
          <w:rFonts w:hint="default" w:ascii="Times New Roman" w:hAnsi="Times New Roman" w:eastAsia="仿宋_GB2312" w:cs="Times New Roman"/>
          <w:bCs/>
          <w:sz w:val="32"/>
          <w:szCs w:val="32"/>
          <w:lang w:eastAsia="zh-CN"/>
        </w:rPr>
        <w:t>行政单位离退休（项）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10</w:t>
      </w:r>
      <w:r>
        <w:rPr>
          <w:rStyle w:val="20"/>
          <w:rFonts w:hint="default" w:ascii="Times New Roman" w:hAnsi="Times New Roman" w:eastAsia="仿宋_GB2312" w:cs="Times New Roman"/>
          <w:b w:val="0"/>
          <w:bCs/>
          <w:sz w:val="32"/>
          <w:szCs w:val="32"/>
        </w:rPr>
        <w:t>万元，</w:t>
      </w:r>
      <w:r>
        <w:rPr>
          <w:rStyle w:val="20"/>
          <w:rFonts w:hint="default" w:ascii="Times New Roman" w:hAnsi="Times New Roman" w:eastAsia="仿宋_GB2312" w:cs="Times New Roman"/>
          <w:b w:val="0"/>
          <w:bCs/>
          <w:sz w:val="32"/>
          <w:szCs w:val="32"/>
          <w:lang w:eastAsia="zh-CN"/>
        </w:rPr>
        <w:t>该资金为</w:t>
      </w:r>
      <w:r>
        <w:rPr>
          <w:rStyle w:val="20"/>
          <w:rFonts w:hint="default" w:ascii="Times New Roman" w:hAnsi="Times New Roman" w:eastAsia="仿宋_GB2312" w:cs="Times New Roman"/>
          <w:b w:val="0"/>
          <w:bCs/>
          <w:sz w:val="32"/>
          <w:szCs w:val="32"/>
          <w:lang w:val="en-US" w:eastAsia="zh-CN"/>
        </w:rPr>
        <w:t>2024年度退休人员一次性退休补贴和离退休人员春节慰问生活补助，年初无预算。</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9.</w:t>
      </w:r>
      <w:r>
        <w:rPr>
          <w:rStyle w:val="20"/>
          <w:rFonts w:hint="default" w:ascii="Times New Roman" w:hAnsi="Times New Roman" w:eastAsia="仿宋_GB2312" w:cs="Times New Roman"/>
          <w:b/>
          <w:bCs w:val="0"/>
          <w:sz w:val="32"/>
          <w:szCs w:val="32"/>
          <w:lang w:eastAsia="zh-CN"/>
        </w:rPr>
        <w:t>社</w:t>
      </w:r>
      <w:r>
        <w:rPr>
          <w:rStyle w:val="20"/>
          <w:rFonts w:hint="default" w:ascii="Times New Roman" w:hAnsi="Times New Roman" w:eastAsia="仿宋_GB2312" w:cs="Times New Roman"/>
          <w:bCs/>
          <w:sz w:val="32"/>
          <w:szCs w:val="32"/>
          <w:lang w:eastAsia="zh-CN"/>
        </w:rPr>
        <w:t>会保障和就业支出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行政事业单位养老支出</w:t>
      </w:r>
      <w:r>
        <w:rPr>
          <w:rStyle w:val="20"/>
          <w:rFonts w:hint="default" w:ascii="Times New Roman" w:hAnsi="Times New Roman" w:eastAsia="仿宋_GB2312" w:cs="Times New Roman"/>
          <w:bCs/>
          <w:sz w:val="32"/>
          <w:szCs w:val="32"/>
        </w:rPr>
        <w:t>（款）</w:t>
      </w:r>
      <w:r>
        <w:rPr>
          <w:rStyle w:val="20"/>
          <w:rFonts w:hint="default" w:ascii="Times New Roman" w:hAnsi="Times New Roman" w:eastAsia="仿宋_GB2312" w:cs="Times New Roman"/>
          <w:bCs/>
          <w:sz w:val="32"/>
          <w:szCs w:val="32"/>
          <w:lang w:eastAsia="zh-CN"/>
        </w:rPr>
        <w:t>事业单位离退休（项）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4.75</w:t>
      </w:r>
      <w:r>
        <w:rPr>
          <w:rStyle w:val="20"/>
          <w:rFonts w:hint="default" w:ascii="Times New Roman" w:hAnsi="Times New Roman" w:eastAsia="仿宋_GB2312" w:cs="Times New Roman"/>
          <w:b w:val="0"/>
          <w:bCs/>
          <w:sz w:val="32"/>
          <w:szCs w:val="32"/>
        </w:rPr>
        <w:t>万元，</w:t>
      </w:r>
      <w:r>
        <w:rPr>
          <w:rStyle w:val="20"/>
          <w:rFonts w:hint="default" w:ascii="Times New Roman" w:hAnsi="Times New Roman" w:eastAsia="仿宋_GB2312" w:cs="Times New Roman"/>
          <w:b w:val="0"/>
          <w:bCs/>
          <w:sz w:val="32"/>
          <w:szCs w:val="32"/>
          <w:lang w:eastAsia="zh-CN"/>
        </w:rPr>
        <w:t>该资金为</w:t>
      </w:r>
      <w:r>
        <w:rPr>
          <w:rStyle w:val="20"/>
          <w:rFonts w:hint="default" w:ascii="Times New Roman" w:hAnsi="Times New Roman" w:eastAsia="仿宋_GB2312" w:cs="Times New Roman"/>
          <w:b w:val="0"/>
          <w:bCs/>
          <w:sz w:val="32"/>
          <w:szCs w:val="32"/>
          <w:lang w:val="en-US" w:eastAsia="zh-CN"/>
        </w:rPr>
        <w:t>2024年度退休人员一次性退休补贴和离退休人员春节慰问生活补助，年初无预算。</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10.</w:t>
      </w:r>
      <w:r>
        <w:rPr>
          <w:rStyle w:val="20"/>
          <w:rFonts w:hint="default" w:ascii="Times New Roman" w:hAnsi="Times New Roman" w:eastAsia="仿宋_GB2312" w:cs="Times New Roman"/>
          <w:b/>
          <w:bCs w:val="0"/>
          <w:sz w:val="32"/>
          <w:szCs w:val="32"/>
          <w:lang w:eastAsia="zh-CN"/>
        </w:rPr>
        <w:t>社</w:t>
      </w:r>
      <w:r>
        <w:rPr>
          <w:rStyle w:val="20"/>
          <w:rFonts w:hint="default" w:ascii="Times New Roman" w:hAnsi="Times New Roman" w:eastAsia="仿宋_GB2312" w:cs="Times New Roman"/>
          <w:bCs/>
          <w:sz w:val="32"/>
          <w:szCs w:val="32"/>
          <w:lang w:eastAsia="zh-CN"/>
        </w:rPr>
        <w:t>会保障和就业支出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行政事业单位养老支出</w:t>
      </w:r>
      <w:r>
        <w:rPr>
          <w:rStyle w:val="20"/>
          <w:rFonts w:hint="default" w:ascii="Times New Roman" w:hAnsi="Times New Roman" w:eastAsia="仿宋_GB2312" w:cs="Times New Roman"/>
          <w:bCs/>
          <w:sz w:val="32"/>
          <w:szCs w:val="32"/>
        </w:rPr>
        <w:t>（款）</w:t>
      </w:r>
      <w:r>
        <w:rPr>
          <w:rStyle w:val="20"/>
          <w:rFonts w:hint="default" w:ascii="Times New Roman" w:hAnsi="Times New Roman" w:eastAsia="仿宋_GB2312" w:cs="Times New Roman"/>
          <w:bCs/>
          <w:sz w:val="32"/>
          <w:szCs w:val="32"/>
          <w:lang w:eastAsia="zh-CN"/>
        </w:rPr>
        <w:t>机关事业单位养老保险缴费支出（项）</w:t>
      </w:r>
      <w:r>
        <w:rPr>
          <w:rStyle w:val="20"/>
          <w:rFonts w:hint="default" w:ascii="Times New Roman" w:hAnsi="Times New Roman" w:eastAsia="仿宋_GB2312" w:cs="Times New Roman"/>
          <w:bCs/>
          <w:sz w:val="32"/>
          <w:szCs w:val="32"/>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119.37</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94.73</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小于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val="en-US" w:eastAsia="zh-CN"/>
        </w:rPr>
        <w:t>2024年人员变化。</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11.</w:t>
      </w:r>
      <w:r>
        <w:rPr>
          <w:rStyle w:val="20"/>
          <w:rFonts w:hint="default" w:ascii="Times New Roman" w:hAnsi="Times New Roman" w:eastAsia="仿宋_GB2312" w:cs="Times New Roman"/>
          <w:b/>
          <w:bCs w:val="0"/>
          <w:sz w:val="32"/>
          <w:szCs w:val="32"/>
          <w:lang w:eastAsia="zh-CN"/>
        </w:rPr>
        <w:t>社</w:t>
      </w:r>
      <w:r>
        <w:rPr>
          <w:rStyle w:val="20"/>
          <w:rFonts w:hint="default" w:ascii="Times New Roman" w:hAnsi="Times New Roman" w:eastAsia="仿宋_GB2312" w:cs="Times New Roman"/>
          <w:bCs/>
          <w:sz w:val="32"/>
          <w:szCs w:val="32"/>
          <w:lang w:eastAsia="zh-CN"/>
        </w:rPr>
        <w:t>会保障和就业支出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行政事业单位养老支出</w:t>
      </w:r>
      <w:r>
        <w:rPr>
          <w:rStyle w:val="20"/>
          <w:rFonts w:hint="default" w:ascii="Times New Roman" w:hAnsi="Times New Roman" w:eastAsia="仿宋_GB2312" w:cs="Times New Roman"/>
          <w:bCs/>
          <w:sz w:val="32"/>
          <w:szCs w:val="32"/>
        </w:rPr>
        <w:t>（款）</w:t>
      </w:r>
      <w:r>
        <w:rPr>
          <w:rStyle w:val="20"/>
          <w:rFonts w:hint="default" w:ascii="Times New Roman" w:hAnsi="Times New Roman" w:eastAsia="仿宋_GB2312" w:cs="Times New Roman"/>
          <w:bCs/>
          <w:sz w:val="32"/>
          <w:szCs w:val="32"/>
          <w:lang w:eastAsia="zh-CN"/>
        </w:rPr>
        <w:t>机关事业单位职业年金缴费支出（项）：</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105.69</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167.74</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大于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val="en-US" w:eastAsia="zh-CN"/>
        </w:rPr>
        <w:t>2024年人员调动和退休人员较多，职业年金纪实补记转给县机保局职业年金专户。</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12.</w:t>
      </w:r>
      <w:r>
        <w:rPr>
          <w:rStyle w:val="20"/>
          <w:rFonts w:hint="default" w:ascii="Times New Roman" w:hAnsi="Times New Roman" w:eastAsia="仿宋_GB2312" w:cs="Times New Roman"/>
          <w:b/>
          <w:bCs w:val="0"/>
          <w:sz w:val="32"/>
          <w:szCs w:val="32"/>
          <w:lang w:eastAsia="zh-CN"/>
        </w:rPr>
        <w:t>社</w:t>
      </w:r>
      <w:r>
        <w:rPr>
          <w:rStyle w:val="20"/>
          <w:rFonts w:hint="default" w:ascii="Times New Roman" w:hAnsi="Times New Roman" w:eastAsia="仿宋_GB2312" w:cs="Times New Roman"/>
          <w:bCs/>
          <w:sz w:val="32"/>
          <w:szCs w:val="32"/>
          <w:lang w:eastAsia="zh-CN"/>
        </w:rPr>
        <w:t>会保障和就业支出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抚恤</w:t>
      </w:r>
      <w:r>
        <w:rPr>
          <w:rStyle w:val="20"/>
          <w:rFonts w:hint="default" w:ascii="Times New Roman" w:hAnsi="Times New Roman" w:eastAsia="仿宋_GB2312" w:cs="Times New Roman"/>
          <w:bCs/>
          <w:sz w:val="32"/>
          <w:szCs w:val="32"/>
        </w:rPr>
        <w:t>（款）</w:t>
      </w:r>
      <w:r>
        <w:rPr>
          <w:rStyle w:val="20"/>
          <w:rFonts w:hint="default" w:ascii="Times New Roman" w:hAnsi="Times New Roman" w:eastAsia="仿宋_GB2312" w:cs="Times New Roman"/>
          <w:bCs/>
          <w:sz w:val="32"/>
          <w:szCs w:val="32"/>
          <w:lang w:eastAsia="zh-CN"/>
        </w:rPr>
        <w:t>死亡抚恤（项）：</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25.10</w:t>
      </w:r>
      <w:r>
        <w:rPr>
          <w:rStyle w:val="20"/>
          <w:rFonts w:hint="default" w:ascii="Times New Roman" w:hAnsi="Times New Roman" w:eastAsia="仿宋_GB2312" w:cs="Times New Roman"/>
          <w:b w:val="0"/>
          <w:bCs/>
          <w:sz w:val="32"/>
          <w:szCs w:val="32"/>
        </w:rPr>
        <w:t>万元，</w:t>
      </w:r>
      <w:r>
        <w:rPr>
          <w:rStyle w:val="20"/>
          <w:rFonts w:hint="default" w:ascii="Times New Roman" w:hAnsi="Times New Roman" w:eastAsia="仿宋_GB2312" w:cs="Times New Roman"/>
          <w:b w:val="0"/>
          <w:bCs/>
          <w:sz w:val="32"/>
          <w:szCs w:val="32"/>
          <w:lang w:eastAsia="zh-CN"/>
        </w:rPr>
        <w:t>该资金</w:t>
      </w:r>
      <w:r>
        <w:rPr>
          <w:rStyle w:val="20"/>
          <w:rFonts w:hint="default" w:ascii="Times New Roman" w:hAnsi="Times New Roman" w:eastAsia="仿宋_GB2312" w:cs="Times New Roman"/>
          <w:b w:val="0"/>
          <w:bCs/>
          <w:sz w:val="32"/>
          <w:szCs w:val="32"/>
        </w:rPr>
        <w:t>是</w:t>
      </w:r>
      <w:r>
        <w:rPr>
          <w:rStyle w:val="20"/>
          <w:rFonts w:hint="default" w:ascii="Times New Roman" w:hAnsi="Times New Roman" w:eastAsia="仿宋_GB2312" w:cs="Times New Roman"/>
          <w:b w:val="0"/>
          <w:bCs/>
          <w:sz w:val="32"/>
          <w:szCs w:val="32"/>
          <w:lang w:eastAsia="zh-CN"/>
        </w:rPr>
        <w:t>退休人员王开贵</w:t>
      </w:r>
      <w:r>
        <w:rPr>
          <w:rStyle w:val="20"/>
          <w:rFonts w:hint="default" w:ascii="Times New Roman" w:hAnsi="Times New Roman" w:eastAsia="仿宋_GB2312" w:cs="Times New Roman"/>
          <w:b w:val="0"/>
          <w:bCs/>
          <w:sz w:val="32"/>
          <w:szCs w:val="32"/>
          <w:lang w:val="en-US" w:eastAsia="zh-CN"/>
        </w:rPr>
        <w:t>死亡抚恤金，年初无预算。</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13.</w:t>
      </w:r>
      <w:r>
        <w:rPr>
          <w:rStyle w:val="20"/>
          <w:rFonts w:hint="default" w:ascii="Times New Roman" w:hAnsi="Times New Roman" w:eastAsia="仿宋_GB2312" w:cs="Times New Roman"/>
          <w:b/>
          <w:bCs w:val="0"/>
          <w:sz w:val="32"/>
          <w:szCs w:val="32"/>
          <w:lang w:eastAsia="zh-CN"/>
        </w:rPr>
        <w:t>社</w:t>
      </w:r>
      <w:r>
        <w:rPr>
          <w:rStyle w:val="20"/>
          <w:rFonts w:hint="default" w:ascii="Times New Roman" w:hAnsi="Times New Roman" w:eastAsia="仿宋_GB2312" w:cs="Times New Roman"/>
          <w:bCs/>
          <w:sz w:val="32"/>
          <w:szCs w:val="32"/>
          <w:lang w:eastAsia="zh-CN"/>
        </w:rPr>
        <w:t>会保障和就业支出</w:t>
      </w:r>
      <w:r>
        <w:rPr>
          <w:rStyle w:val="20"/>
          <w:rFonts w:hint="default" w:ascii="Times New Roman" w:hAnsi="Times New Roman" w:eastAsia="仿宋_GB2312" w:cs="Times New Roman"/>
          <w:bCs/>
          <w:sz w:val="32"/>
          <w:szCs w:val="32"/>
        </w:rPr>
        <w:t>（类）</w:t>
      </w:r>
      <w:r>
        <w:rPr>
          <w:rStyle w:val="20"/>
          <w:rFonts w:hint="default" w:ascii="Times New Roman" w:hAnsi="Times New Roman" w:eastAsia="仿宋_GB2312" w:cs="Times New Roman"/>
          <w:bCs/>
          <w:sz w:val="32"/>
          <w:szCs w:val="32"/>
          <w:lang w:eastAsia="zh-CN"/>
        </w:rPr>
        <w:t>其他社会保障和就业支出</w:t>
      </w:r>
      <w:r>
        <w:rPr>
          <w:rStyle w:val="20"/>
          <w:rFonts w:hint="default" w:ascii="Times New Roman" w:hAnsi="Times New Roman" w:eastAsia="仿宋_GB2312" w:cs="Times New Roman"/>
          <w:bCs/>
          <w:sz w:val="32"/>
          <w:szCs w:val="32"/>
        </w:rPr>
        <w:t>（款）</w:t>
      </w:r>
      <w:r>
        <w:rPr>
          <w:rStyle w:val="20"/>
          <w:rFonts w:hint="default" w:ascii="Times New Roman" w:hAnsi="Times New Roman" w:eastAsia="仿宋_GB2312" w:cs="Times New Roman"/>
          <w:bCs/>
          <w:sz w:val="32"/>
          <w:szCs w:val="32"/>
          <w:lang w:eastAsia="zh-CN"/>
        </w:rPr>
        <w:t>其他社会保障和就业支出（项）：</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1.35</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32.91</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小于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eastAsia="zh-CN"/>
        </w:rPr>
        <w:t>人员变动，调出一名事业身份人员</w:t>
      </w:r>
      <w:r>
        <w:rPr>
          <w:rStyle w:val="20"/>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b/>
          <w:bCs w:val="0"/>
          <w:sz w:val="32"/>
          <w:szCs w:val="32"/>
          <w:lang w:val="en-US" w:eastAsia="zh-CN"/>
        </w:rPr>
        <w:t>14.</w:t>
      </w:r>
      <w:r>
        <w:rPr>
          <w:rFonts w:hint="default" w:ascii="Times New Roman" w:hAnsi="Times New Roman" w:eastAsia="仿宋_GB2312" w:cs="Times New Roman"/>
          <w:b/>
          <w:bCs w:val="0"/>
          <w:color w:val="000000"/>
          <w:sz w:val="32"/>
        </w:rPr>
        <w:t>卫</w:t>
      </w:r>
      <w:r>
        <w:rPr>
          <w:rFonts w:hint="default" w:ascii="Times New Roman" w:hAnsi="Times New Roman" w:eastAsia="仿宋_GB2312" w:cs="Times New Roman"/>
          <w:b/>
          <w:color w:val="000000"/>
          <w:sz w:val="32"/>
        </w:rPr>
        <w:t>生健康</w:t>
      </w:r>
      <w:r>
        <w:rPr>
          <w:rFonts w:hint="default" w:ascii="Times New Roman" w:hAnsi="Times New Roman" w:eastAsia="仿宋_GB2312" w:cs="Times New Roman"/>
          <w:b/>
          <w:color w:val="000000"/>
          <w:sz w:val="32"/>
          <w:lang w:eastAsia="zh-CN"/>
        </w:rPr>
        <w:t>支出</w:t>
      </w:r>
      <w:r>
        <w:rPr>
          <w:rStyle w:val="20"/>
          <w:rFonts w:hint="default" w:ascii="Times New Roman" w:hAnsi="Times New Roman" w:eastAsia="仿宋_GB2312" w:cs="Times New Roman"/>
          <w:color w:val="000000"/>
          <w:sz w:val="32"/>
        </w:rPr>
        <w:t>（类）行政事业单位医疗（款）行政单位医疗（项）</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57.50</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96.62</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小于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eastAsia="zh-CN"/>
        </w:rPr>
        <w:t>人员变动</w:t>
      </w:r>
      <w:r>
        <w:rPr>
          <w:rStyle w:val="20"/>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lang w:val="en-US" w:eastAsia="zh-CN"/>
        </w:rPr>
      </w:pPr>
      <w:r>
        <w:rPr>
          <w:rStyle w:val="20"/>
          <w:rFonts w:hint="default" w:ascii="Times New Roman" w:hAnsi="Times New Roman" w:eastAsia="仿宋_GB2312" w:cs="Times New Roman"/>
          <w:b/>
          <w:bCs w:val="0"/>
          <w:sz w:val="32"/>
          <w:szCs w:val="32"/>
          <w:lang w:val="en-US" w:eastAsia="zh-CN"/>
        </w:rPr>
        <w:t>15.</w:t>
      </w:r>
      <w:r>
        <w:rPr>
          <w:rFonts w:hint="default" w:ascii="Times New Roman" w:hAnsi="Times New Roman" w:eastAsia="仿宋_GB2312" w:cs="Times New Roman"/>
          <w:b/>
          <w:bCs w:val="0"/>
          <w:color w:val="000000"/>
          <w:sz w:val="32"/>
        </w:rPr>
        <w:t>卫</w:t>
      </w:r>
      <w:r>
        <w:rPr>
          <w:rFonts w:hint="default" w:ascii="Times New Roman" w:hAnsi="Times New Roman" w:eastAsia="仿宋_GB2312" w:cs="Times New Roman"/>
          <w:b/>
          <w:color w:val="000000"/>
          <w:sz w:val="32"/>
        </w:rPr>
        <w:t>生健康</w:t>
      </w:r>
      <w:r>
        <w:rPr>
          <w:rFonts w:hint="default" w:ascii="Times New Roman" w:hAnsi="Times New Roman" w:eastAsia="仿宋_GB2312" w:cs="Times New Roman"/>
          <w:b/>
          <w:color w:val="000000"/>
          <w:sz w:val="32"/>
          <w:lang w:eastAsia="zh-CN"/>
        </w:rPr>
        <w:t>支出</w:t>
      </w:r>
      <w:r>
        <w:rPr>
          <w:rStyle w:val="20"/>
          <w:rFonts w:hint="default" w:ascii="Times New Roman" w:hAnsi="Times New Roman" w:eastAsia="仿宋_GB2312" w:cs="Times New Roman"/>
          <w:color w:val="000000"/>
          <w:sz w:val="32"/>
        </w:rPr>
        <w:t>（类）行政事业单位医疗（款）</w:t>
      </w:r>
      <w:r>
        <w:rPr>
          <w:rStyle w:val="20"/>
          <w:rFonts w:hint="default" w:ascii="Times New Roman" w:hAnsi="Times New Roman" w:eastAsia="仿宋_GB2312" w:cs="Times New Roman"/>
          <w:color w:val="000000"/>
          <w:sz w:val="32"/>
          <w:lang w:eastAsia="zh-CN"/>
        </w:rPr>
        <w:t>事业</w:t>
      </w:r>
      <w:r>
        <w:rPr>
          <w:rStyle w:val="20"/>
          <w:rFonts w:hint="default" w:ascii="Times New Roman" w:hAnsi="Times New Roman" w:eastAsia="仿宋_GB2312" w:cs="Times New Roman"/>
          <w:color w:val="000000"/>
          <w:sz w:val="32"/>
        </w:rPr>
        <w:t>单位医疗（项）</w:t>
      </w:r>
      <w:r>
        <w:rPr>
          <w:rStyle w:val="20"/>
          <w:rFonts w:hint="default" w:ascii="Times New Roman" w:hAnsi="Times New Roman" w:eastAsia="仿宋_GB2312" w:cs="Times New Roman"/>
          <w:bCs/>
          <w:sz w:val="32"/>
          <w:szCs w:val="32"/>
          <w:lang w:eastAsia="zh-CN"/>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1.28</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59.2</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小于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eastAsia="zh-CN"/>
        </w:rPr>
        <w:t>人员变动</w:t>
      </w:r>
      <w:r>
        <w:rPr>
          <w:rStyle w:val="20"/>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bCs/>
          <w:sz w:val="32"/>
          <w:szCs w:val="32"/>
          <w:lang w:val="en-US" w:eastAsia="zh-CN"/>
        </w:rPr>
      </w:pPr>
      <w:r>
        <w:rPr>
          <w:rStyle w:val="20"/>
          <w:rFonts w:hint="default" w:ascii="Times New Roman" w:hAnsi="Times New Roman" w:eastAsia="仿宋_GB2312" w:cs="Times New Roman"/>
          <w:sz w:val="32"/>
          <w:lang w:val="en-US" w:eastAsia="zh-CN"/>
        </w:rPr>
        <w:t>16</w:t>
      </w:r>
      <w:r>
        <w:rPr>
          <w:rStyle w:val="20"/>
          <w:rFonts w:hint="default" w:ascii="Times New Roman" w:hAnsi="Times New Roman" w:eastAsia="仿宋_GB2312" w:cs="Times New Roman"/>
          <w:sz w:val="32"/>
        </w:rPr>
        <w:t>.</w:t>
      </w:r>
      <w:r>
        <w:rPr>
          <w:rFonts w:hint="default" w:ascii="Times New Roman" w:hAnsi="Times New Roman" w:eastAsia="仿宋_GB2312" w:cs="Times New Roman"/>
          <w:b/>
          <w:color w:val="000000"/>
          <w:sz w:val="32"/>
        </w:rPr>
        <w:t>卫生健康</w:t>
      </w:r>
      <w:r>
        <w:rPr>
          <w:rStyle w:val="20"/>
          <w:rFonts w:hint="default" w:ascii="Times New Roman" w:hAnsi="Times New Roman" w:eastAsia="仿宋_GB2312" w:cs="Times New Roman"/>
          <w:color w:val="000000"/>
          <w:sz w:val="32"/>
        </w:rPr>
        <w:t>（类）行政事业单位医疗（款）公务员医疗补助（项）</w:t>
      </w:r>
      <w:r>
        <w:rPr>
          <w:rStyle w:val="20"/>
          <w:rFonts w:hint="default" w:ascii="Times New Roman" w:hAnsi="Times New Roman" w:eastAsia="仿宋_GB2312" w:cs="Times New Roman"/>
          <w:color w:val="000000"/>
          <w:sz w:val="32"/>
          <w:lang w:eastAsia="zh-CN"/>
        </w:rPr>
        <w:t>：</w:t>
      </w:r>
      <w:r>
        <w:rPr>
          <w:rStyle w:val="20"/>
          <w:rFonts w:hint="default" w:ascii="Times New Roman" w:hAnsi="Times New Roman" w:eastAsia="仿宋_GB2312" w:cs="Times New Roman"/>
          <w:b w:val="0"/>
          <w:bCs/>
          <w:sz w:val="32"/>
          <w:szCs w:val="32"/>
        </w:rPr>
        <w:t>支出决算为</w:t>
      </w:r>
      <w:r>
        <w:rPr>
          <w:rStyle w:val="20"/>
          <w:rFonts w:hint="default" w:ascii="Times New Roman" w:hAnsi="Times New Roman" w:eastAsia="仿宋_GB2312" w:cs="Times New Roman"/>
          <w:b w:val="0"/>
          <w:bCs/>
          <w:sz w:val="32"/>
          <w:szCs w:val="32"/>
          <w:lang w:val="en-US" w:eastAsia="zh-CN"/>
        </w:rPr>
        <w:t>12.95</w:t>
      </w:r>
      <w:r>
        <w:rPr>
          <w:rStyle w:val="20"/>
          <w:rFonts w:hint="default" w:ascii="Times New Roman" w:hAnsi="Times New Roman" w:eastAsia="仿宋_GB2312" w:cs="Times New Roman"/>
          <w:b w:val="0"/>
          <w:bCs/>
          <w:sz w:val="32"/>
          <w:szCs w:val="32"/>
        </w:rPr>
        <w:t>万元，完成预算</w:t>
      </w:r>
      <w:r>
        <w:rPr>
          <w:rStyle w:val="20"/>
          <w:rFonts w:hint="default" w:ascii="Times New Roman" w:hAnsi="Times New Roman" w:eastAsia="仿宋_GB2312" w:cs="Times New Roman"/>
          <w:b w:val="0"/>
          <w:bCs/>
          <w:sz w:val="32"/>
          <w:szCs w:val="32"/>
          <w:lang w:val="en-US" w:eastAsia="zh-CN"/>
        </w:rPr>
        <w:t>80.23</w:t>
      </w:r>
      <w:r>
        <w:rPr>
          <w:rStyle w:val="20"/>
          <w:rFonts w:hint="default" w:ascii="Times New Roman" w:hAnsi="Times New Roman" w:eastAsia="仿宋_GB2312" w:cs="Times New Roman"/>
          <w:b w:val="0"/>
          <w:bCs/>
          <w:sz w:val="32"/>
          <w:szCs w:val="32"/>
        </w:rPr>
        <w:t>%，决算数</w:t>
      </w:r>
      <w:r>
        <w:rPr>
          <w:rStyle w:val="20"/>
          <w:rFonts w:hint="default" w:ascii="Times New Roman" w:hAnsi="Times New Roman" w:eastAsia="仿宋_GB2312" w:cs="Times New Roman"/>
          <w:b w:val="0"/>
          <w:bCs/>
          <w:sz w:val="32"/>
          <w:szCs w:val="32"/>
          <w:lang w:eastAsia="zh-CN"/>
        </w:rPr>
        <w:t>小于</w:t>
      </w:r>
      <w:r>
        <w:rPr>
          <w:rStyle w:val="20"/>
          <w:rFonts w:hint="default" w:ascii="Times New Roman" w:hAnsi="Times New Roman" w:eastAsia="仿宋_GB2312" w:cs="Times New Roman"/>
          <w:b w:val="0"/>
          <w:bCs/>
          <w:sz w:val="32"/>
          <w:szCs w:val="32"/>
        </w:rPr>
        <w:t>预算数的主要原因是</w:t>
      </w:r>
      <w:r>
        <w:rPr>
          <w:rStyle w:val="20"/>
          <w:rFonts w:hint="default" w:ascii="Times New Roman" w:hAnsi="Times New Roman" w:eastAsia="仿宋_GB2312" w:cs="Times New Roman"/>
          <w:b w:val="0"/>
          <w:bCs/>
          <w:sz w:val="32"/>
          <w:szCs w:val="32"/>
          <w:lang w:eastAsia="zh-CN"/>
        </w:rPr>
        <w:t>人员变动</w:t>
      </w:r>
      <w:r>
        <w:rPr>
          <w:rStyle w:val="20"/>
          <w:rFonts w:hint="default" w:ascii="Times New Roman" w:hAnsi="Times New Roman" w:eastAsia="仿宋_GB2312" w:cs="Times New Roman"/>
          <w:b w:val="0"/>
          <w:bCs/>
          <w:sz w:val="32"/>
          <w:szCs w:val="32"/>
          <w:lang w:val="en-US" w:eastAsia="zh-CN"/>
        </w:rPr>
        <w:t>。</w:t>
      </w:r>
    </w:p>
    <w:p>
      <w:pPr>
        <w:pageBreakBefore w:val="0"/>
        <w:kinsoku/>
        <w:wordWrap/>
        <w:overflowPunct/>
        <w:topLinePunct w:val="0"/>
        <w:bidi w:val="0"/>
        <w:spacing w:line="576" w:lineRule="exact"/>
        <w:ind w:firstLine="643" w:firstLineChars="200"/>
        <w:textAlignment w:val="auto"/>
        <w:rPr>
          <w:rStyle w:val="20"/>
          <w:rFonts w:hint="default" w:ascii="Times New Roman" w:hAnsi="Times New Roman" w:eastAsia="仿宋_GB2312" w:cs="Times New Roman"/>
          <w:b w:val="0"/>
          <w:sz w:val="32"/>
        </w:rPr>
      </w:pPr>
      <w:r>
        <w:rPr>
          <w:rStyle w:val="20"/>
          <w:rFonts w:hint="default" w:ascii="Times New Roman" w:hAnsi="Times New Roman" w:eastAsia="仿宋_GB2312" w:cs="Times New Roman"/>
          <w:sz w:val="32"/>
        </w:rPr>
        <w:t>1</w:t>
      </w:r>
      <w:r>
        <w:rPr>
          <w:rStyle w:val="20"/>
          <w:rFonts w:hint="default" w:ascii="Times New Roman" w:hAnsi="Times New Roman" w:eastAsia="仿宋_GB2312" w:cs="Times New Roman"/>
          <w:sz w:val="32"/>
          <w:lang w:val="en-US" w:eastAsia="zh-CN"/>
        </w:rPr>
        <w:t>7</w:t>
      </w:r>
      <w:r>
        <w:rPr>
          <w:rStyle w:val="20"/>
          <w:rFonts w:hint="default" w:ascii="Times New Roman" w:hAnsi="Times New Roman" w:eastAsia="仿宋_GB2312" w:cs="Times New Roman"/>
          <w:sz w:val="32"/>
        </w:rPr>
        <w:t>.</w:t>
      </w:r>
      <w:r>
        <w:rPr>
          <w:rFonts w:hint="default" w:ascii="Times New Roman" w:hAnsi="Times New Roman" w:eastAsia="仿宋_GB2312" w:cs="Times New Roman"/>
          <w:b/>
          <w:color w:val="000000"/>
          <w:sz w:val="32"/>
        </w:rPr>
        <w:t>农林水</w:t>
      </w:r>
      <w:r>
        <w:rPr>
          <w:rFonts w:hint="default" w:ascii="Times New Roman" w:hAnsi="Times New Roman" w:eastAsia="仿宋_GB2312" w:cs="Times New Roman"/>
          <w:b/>
          <w:color w:val="000000"/>
          <w:sz w:val="32"/>
          <w:lang w:eastAsia="zh-CN"/>
        </w:rPr>
        <w:t>支出</w:t>
      </w:r>
      <w:r>
        <w:rPr>
          <w:rStyle w:val="20"/>
          <w:rFonts w:hint="default" w:ascii="Times New Roman" w:hAnsi="Times New Roman" w:eastAsia="仿宋_GB2312" w:cs="Times New Roman"/>
          <w:color w:val="000000"/>
          <w:sz w:val="32"/>
        </w:rPr>
        <w:t>（类）巩固脱贫衔接乡村振兴（款）其他巩固脱贫衔接乡村振兴（项）</w:t>
      </w:r>
      <w:r>
        <w:rPr>
          <w:rStyle w:val="20"/>
          <w:rFonts w:hint="default" w:ascii="Times New Roman" w:hAnsi="Times New Roman" w:eastAsia="仿宋_GB2312" w:cs="Times New Roman"/>
          <w:sz w:val="32"/>
        </w:rPr>
        <w:t>:</w:t>
      </w:r>
      <w:r>
        <w:rPr>
          <w:rStyle w:val="20"/>
          <w:rFonts w:hint="default" w:ascii="Times New Roman" w:hAnsi="Times New Roman" w:eastAsia="仿宋_GB2312" w:cs="Times New Roman"/>
          <w:b w:val="0"/>
          <w:sz w:val="32"/>
        </w:rPr>
        <w:t>支出决算为</w:t>
      </w:r>
      <w:r>
        <w:rPr>
          <w:rStyle w:val="20"/>
          <w:rFonts w:hint="default" w:ascii="Times New Roman" w:hAnsi="Times New Roman" w:eastAsia="仿宋_GB2312" w:cs="Times New Roman"/>
          <w:b w:val="0"/>
          <w:sz w:val="32"/>
          <w:lang w:val="en-US" w:eastAsia="zh-CN"/>
        </w:rPr>
        <w:t>1.01</w:t>
      </w:r>
      <w:r>
        <w:rPr>
          <w:rStyle w:val="20"/>
          <w:rFonts w:hint="default" w:ascii="Times New Roman" w:hAnsi="Times New Roman" w:eastAsia="仿宋_GB2312" w:cs="Times New Roman"/>
          <w:b w:val="0"/>
          <w:sz w:val="32"/>
        </w:rPr>
        <w:t>万元，</w:t>
      </w:r>
      <w:r>
        <w:rPr>
          <w:rStyle w:val="20"/>
          <w:rFonts w:hint="default" w:ascii="Times New Roman" w:hAnsi="Times New Roman" w:eastAsia="仿宋_GB2312" w:cs="Times New Roman"/>
          <w:b w:val="0"/>
          <w:sz w:val="32"/>
          <w:lang w:eastAsia="zh-CN"/>
        </w:rPr>
        <w:t>该资金为</w:t>
      </w:r>
      <w:r>
        <w:rPr>
          <w:rStyle w:val="20"/>
          <w:rFonts w:hint="default" w:ascii="Times New Roman" w:hAnsi="Times New Roman" w:eastAsia="仿宋_GB2312" w:cs="Times New Roman"/>
          <w:b w:val="0"/>
          <w:sz w:val="32"/>
        </w:rPr>
        <w:t>本单位</w:t>
      </w:r>
      <w:r>
        <w:rPr>
          <w:rStyle w:val="20"/>
          <w:rFonts w:hint="default" w:ascii="Times New Roman" w:hAnsi="Times New Roman" w:eastAsia="仿宋_GB2312" w:cs="Times New Roman"/>
          <w:b w:val="0"/>
          <w:sz w:val="32"/>
          <w:lang w:eastAsia="zh-CN"/>
        </w:rPr>
        <w:t>派出</w:t>
      </w:r>
      <w:r>
        <w:rPr>
          <w:rStyle w:val="20"/>
          <w:rFonts w:hint="default" w:ascii="Times New Roman" w:hAnsi="Times New Roman" w:eastAsia="仿宋_GB2312" w:cs="Times New Roman"/>
          <w:b w:val="0"/>
          <w:sz w:val="32"/>
        </w:rPr>
        <w:t>驻村</w:t>
      </w:r>
      <w:r>
        <w:rPr>
          <w:rStyle w:val="20"/>
          <w:rFonts w:hint="default" w:ascii="Times New Roman" w:hAnsi="Times New Roman" w:eastAsia="仿宋_GB2312" w:cs="Times New Roman"/>
          <w:b w:val="0"/>
          <w:sz w:val="32"/>
          <w:lang w:eastAsia="zh-CN"/>
        </w:rPr>
        <w:t>工作队员</w:t>
      </w:r>
      <w:r>
        <w:rPr>
          <w:rStyle w:val="20"/>
          <w:rFonts w:hint="default" w:ascii="Times New Roman" w:hAnsi="Times New Roman" w:eastAsia="仿宋_GB2312" w:cs="Times New Roman"/>
          <w:b w:val="0"/>
          <w:sz w:val="32"/>
        </w:rPr>
        <w:t>工作经费。</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lang w:val="en-US" w:eastAsia="zh-CN"/>
        </w:rPr>
      </w:pPr>
      <w:r>
        <w:rPr>
          <w:rStyle w:val="20"/>
          <w:rFonts w:hint="default" w:ascii="Times New Roman" w:hAnsi="Times New Roman" w:eastAsia="仿宋_GB2312" w:cs="Times New Roman"/>
          <w:kern w:val="2"/>
          <w:sz w:val="32"/>
          <w:szCs w:val="22"/>
          <w:lang w:val="en-US" w:eastAsia="zh-CN" w:bidi="ar-SA"/>
        </w:rPr>
        <w:t>18.住房保障支出（类）住房改革（款）住房公积金（项）</w:t>
      </w:r>
      <w:r>
        <w:rPr>
          <w:rStyle w:val="20"/>
          <w:rFonts w:hint="default" w:ascii="Times New Roman" w:hAnsi="Times New Roman" w:eastAsia="仿宋_GB2312" w:cs="Times New Roman"/>
          <w:sz w:val="32"/>
        </w:rPr>
        <w:t>:</w:t>
      </w:r>
      <w:r>
        <w:rPr>
          <w:rStyle w:val="20"/>
          <w:rFonts w:hint="default" w:ascii="Times New Roman" w:hAnsi="Times New Roman" w:eastAsia="仿宋_GB2312" w:cs="Times New Roman"/>
          <w:b w:val="0"/>
          <w:sz w:val="32"/>
        </w:rPr>
        <w:t>支出决算为</w:t>
      </w:r>
      <w:r>
        <w:rPr>
          <w:rStyle w:val="20"/>
          <w:rFonts w:hint="default" w:ascii="Times New Roman" w:hAnsi="Times New Roman" w:eastAsia="仿宋_GB2312" w:cs="Times New Roman"/>
          <w:b w:val="0"/>
          <w:sz w:val="32"/>
          <w:lang w:val="en-US" w:eastAsia="zh-CN"/>
        </w:rPr>
        <w:t>96.53</w:t>
      </w:r>
      <w:r>
        <w:rPr>
          <w:rStyle w:val="20"/>
          <w:rFonts w:hint="default" w:ascii="Times New Roman" w:hAnsi="Times New Roman" w:eastAsia="仿宋_GB2312" w:cs="Times New Roman"/>
          <w:b w:val="0"/>
          <w:sz w:val="32"/>
        </w:rPr>
        <w:t>万元，完成预算</w:t>
      </w:r>
      <w:r>
        <w:rPr>
          <w:rStyle w:val="20"/>
          <w:rFonts w:hint="default" w:ascii="Times New Roman" w:hAnsi="Times New Roman" w:eastAsia="仿宋_GB2312" w:cs="Times New Roman"/>
          <w:b w:val="0"/>
          <w:sz w:val="32"/>
          <w:lang w:val="en-US" w:eastAsia="zh-CN"/>
        </w:rPr>
        <w:t>95.36</w:t>
      </w:r>
      <w:r>
        <w:rPr>
          <w:rStyle w:val="20"/>
          <w:rFonts w:hint="default" w:ascii="Times New Roman" w:hAnsi="Times New Roman" w:eastAsia="仿宋_GB2312" w:cs="Times New Roman"/>
          <w:b w:val="0"/>
          <w:sz w:val="32"/>
        </w:rPr>
        <w:t>%，决算数小于预算数的主要原因是本年度人员变动。</w:t>
      </w:r>
    </w:p>
    <w:p>
      <w:pPr>
        <w:pageBreakBefore w:val="0"/>
        <w:kinsoku/>
        <w:wordWrap/>
        <w:overflowPunct/>
        <w:topLinePunct w:val="0"/>
        <w:bidi w:val="0"/>
        <w:spacing w:line="576" w:lineRule="exac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01-1表和财决08表，仅罗列本部门涉及的全部功能分类科目，至项级。上述“预算”口径为全年预算数。增减变动原因为决算数&lt;项级&gt;和全年预算数&lt;项级&gt;比较，与预算数持平可以不写原因。）</w:t>
      </w:r>
    </w:p>
    <w:p>
      <w:pPr>
        <w:pageBreakBefore w:val="0"/>
        <w:tabs>
          <w:tab w:val="right" w:pos="8306"/>
        </w:tabs>
        <w:kinsoku/>
        <w:wordWrap/>
        <w:overflowPunct/>
        <w:topLinePunct w:val="0"/>
        <w:bidi w:val="0"/>
        <w:spacing w:line="576" w:lineRule="exact"/>
        <w:ind w:firstLine="640"/>
        <w:textAlignment w:val="auto"/>
        <w:outlineLvl w:val="1"/>
        <w:rPr>
          <w:rStyle w:val="35"/>
        </w:rPr>
      </w:pPr>
      <w:bookmarkStart w:id="32" w:name="_Toc15396608"/>
      <w:bookmarkStart w:id="3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cs="Times New Roman"/>
          <w:kern w:val="2"/>
          <w:sz w:val="32"/>
          <w:szCs w:val="32"/>
          <w:lang w:val="en-US" w:eastAsia="zh-CN" w:bidi="ar-SA"/>
        </w:rPr>
        <w:t>一般公共预算财政拨款基本支出决算情况说明</w:t>
      </w:r>
      <w:bookmarkEnd w:id="32"/>
      <w:bookmarkEnd w:id="33"/>
      <w:r>
        <w:rPr>
          <w:rFonts w:hint="eastAsia" w:ascii="黑体" w:hAnsi="黑体" w:eastAsia="黑体" w:cs="Times New Roman"/>
          <w:kern w:val="2"/>
          <w:sz w:val="32"/>
          <w:szCs w:val="32"/>
          <w:lang w:val="en-US" w:eastAsia="zh-CN" w:bidi="ar-SA"/>
        </w:rPr>
        <w:tab/>
      </w:r>
    </w:p>
    <w:p>
      <w:pPr>
        <w:pageBreakBefore w:val="0"/>
        <w:kinsoku/>
        <w:wordWrap/>
        <w:overflowPunct/>
        <w:topLinePunct w:val="0"/>
        <w:bidi w:val="0"/>
        <w:spacing w:line="576"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年度一般公共预算财政拨款基本支出</w:t>
      </w:r>
      <w:r>
        <w:rPr>
          <w:rFonts w:hint="default" w:ascii="Times New Roman" w:hAnsi="Times New Roman" w:eastAsia="仿宋_GB2312" w:cs="Times New Roman"/>
          <w:sz w:val="32"/>
          <w:szCs w:val="32"/>
          <w:lang w:val="en-US" w:eastAsia="zh-CN"/>
        </w:rPr>
        <w:t>1712.65</w:t>
      </w:r>
      <w:r>
        <w:rPr>
          <w:rFonts w:hint="default" w:ascii="Times New Roman" w:hAnsi="Times New Roman" w:eastAsia="仿宋_GB2312" w:cs="Times New Roman"/>
          <w:sz w:val="32"/>
          <w:szCs w:val="32"/>
        </w:rPr>
        <w:t>万元，其中：</w:t>
      </w:r>
    </w:p>
    <w:p>
      <w:pPr>
        <w:pageBreakBefore w:val="0"/>
        <w:kinsoku/>
        <w:wordWrap/>
        <w:overflowPunct/>
        <w:topLinePunct w:val="0"/>
        <w:bidi w:val="0"/>
        <w:spacing w:line="576"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1253.72</w:t>
      </w:r>
      <w:r>
        <w:rPr>
          <w:rFonts w:hint="default" w:ascii="Times New Roman" w:hAnsi="Times New Roman" w:eastAsia="仿宋_GB2312" w:cs="Times New Roman"/>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default" w:ascii="Times New Roman" w:hAnsi="Times New Roman" w:eastAsia="仿宋_GB2312" w:cs="Times New Roman"/>
          <w:sz w:val="32"/>
          <w:szCs w:val="32"/>
          <w:lang w:val="en-US" w:eastAsia="zh-CN"/>
        </w:rPr>
        <w:t>248.78</w:t>
      </w:r>
      <w:r>
        <w:rPr>
          <w:rFonts w:hint="default" w:ascii="Times New Roman" w:hAnsi="Times New Roman" w:eastAsia="仿宋_GB2312" w:cs="Times New Roman"/>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ageBreakBefore w:val="0"/>
        <w:kinsoku/>
        <w:wordWrap/>
        <w:overflowPunct/>
        <w:topLinePunct w:val="0"/>
        <w:bidi w:val="0"/>
        <w:spacing w:line="576" w:lineRule="exact"/>
        <w:ind w:firstLine="645"/>
        <w:textAlignment w:val="auto"/>
        <w:rPr>
          <w:rFonts w:ascii="仿宋" w:hAnsi="仿宋" w:eastAsia="仿宋"/>
          <w:b/>
          <w:sz w:val="32"/>
          <w:szCs w:val="32"/>
        </w:rPr>
      </w:pPr>
      <w:r>
        <w:rPr>
          <w:rFonts w:hint="default" w:ascii="Times New Roman" w:hAnsi="Times New Roman" w:eastAsia="仿宋_GB2312" w:cs="Times New Roman"/>
          <w:b/>
          <w:sz w:val="32"/>
          <w:szCs w:val="32"/>
        </w:rPr>
        <w:t>（注：数据来源于财决07表和财决08-1表，仅罗列本部门实际支出涉及的经济分类科目。）</w:t>
      </w:r>
    </w:p>
    <w:p>
      <w:pPr>
        <w:pageBreakBefore w:val="0"/>
        <w:kinsoku/>
        <w:wordWrap/>
        <w:overflowPunct/>
        <w:topLinePunct w:val="0"/>
        <w:bidi w:val="0"/>
        <w:spacing w:line="576" w:lineRule="exact"/>
        <w:ind w:firstLine="640"/>
        <w:textAlignment w:val="auto"/>
        <w:outlineLvl w:val="1"/>
        <w:rPr>
          <w:rStyle w:val="35"/>
          <w:rFonts w:ascii="黑体" w:hAnsi="黑体" w:eastAsia="黑体"/>
          <w:b w:val="0"/>
        </w:rPr>
      </w:pPr>
      <w:bookmarkStart w:id="34" w:name="_Toc15377215"/>
      <w:bookmarkStart w:id="35" w:name="_Toc15396609"/>
      <w:r>
        <w:rPr>
          <w:rFonts w:hint="eastAsia" w:ascii="黑体" w:eastAsia="黑体"/>
          <w:sz w:val="32"/>
          <w:szCs w:val="32"/>
        </w:rPr>
        <w:t>七、</w:t>
      </w:r>
      <w:r>
        <w:rPr>
          <w:rStyle w:val="35"/>
          <w:rFonts w:hint="eastAsia" w:ascii="黑体" w:hAnsi="黑体" w:eastAsia="黑体"/>
          <w:b w:val="0"/>
        </w:rPr>
        <w:t>财政拨款</w:t>
      </w:r>
      <w:r>
        <w:rPr>
          <w:rStyle w:val="35"/>
          <w:rFonts w:hint="eastAsia" w:ascii="黑体" w:hAnsi="黑体" w:eastAsia="黑体"/>
        </w:rPr>
        <w:t>“</w:t>
      </w:r>
      <w:r>
        <w:rPr>
          <w:rStyle w:val="35"/>
          <w:rFonts w:hint="eastAsia" w:ascii="黑体" w:hAnsi="黑体" w:eastAsia="黑体"/>
          <w:b w:val="0"/>
        </w:rPr>
        <w:t>三公”经费支出决算情况说明</w:t>
      </w:r>
      <w:bookmarkEnd w:id="34"/>
      <w:bookmarkEnd w:id="35"/>
    </w:p>
    <w:p>
      <w:pPr>
        <w:pageBreakBefore w:val="0"/>
        <w:kinsoku/>
        <w:wordWrap/>
        <w:overflowPunct/>
        <w:topLinePunct w:val="0"/>
        <w:bidi w:val="0"/>
        <w:spacing w:line="576" w:lineRule="exact"/>
        <w:ind w:firstLine="640"/>
        <w:textAlignment w:val="auto"/>
        <w:outlineLvl w:val="2"/>
        <w:rPr>
          <w:rFonts w:hint="default" w:ascii="Times New Roman" w:hAnsi="Times New Roman" w:eastAsia="仿宋_GB2312" w:cs="Times New Roman"/>
          <w:b/>
          <w:sz w:val="32"/>
          <w:szCs w:val="32"/>
        </w:rPr>
      </w:pPr>
      <w:bookmarkStart w:id="36" w:name="_Toc15377216"/>
      <w:r>
        <w:rPr>
          <w:rFonts w:hint="eastAsia" w:ascii="楷体_GB2312" w:hAnsi="楷体_GB2312" w:eastAsia="楷体_GB2312" w:cs="楷体_GB2312"/>
          <w:b/>
          <w:sz w:val="32"/>
          <w:szCs w:val="32"/>
        </w:rPr>
        <w:t>（一）“三公”经费财政拨款支出决算总体情况说明</w:t>
      </w:r>
      <w:bookmarkEnd w:id="36"/>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年度“三公”经费财政拨款支出决算为</w:t>
      </w:r>
      <w:r>
        <w:rPr>
          <w:rFonts w:hint="default" w:ascii="Times New Roman" w:hAnsi="Times New Roman" w:eastAsia="仿宋_GB2312" w:cs="Times New Roman"/>
          <w:sz w:val="32"/>
          <w:szCs w:val="32"/>
          <w:lang w:val="en-US" w:eastAsia="zh-CN"/>
        </w:rPr>
        <w:t>34.03</w:t>
      </w:r>
      <w:r>
        <w:rPr>
          <w:rFonts w:hint="default" w:ascii="Times New Roman" w:hAnsi="Times New Roman" w:eastAsia="仿宋_GB2312" w:cs="Times New Roman"/>
          <w:sz w:val="32"/>
          <w:szCs w:val="32"/>
        </w:rPr>
        <w:t>万元，完成预算100%，较上年度增加</w:t>
      </w:r>
      <w:r>
        <w:rPr>
          <w:rFonts w:hint="default" w:ascii="Times New Roman" w:hAnsi="Times New Roman" w:eastAsia="仿宋_GB2312" w:cs="Times New Roman"/>
          <w:sz w:val="32"/>
          <w:szCs w:val="32"/>
          <w:lang w:val="en-US" w:eastAsia="zh-CN"/>
        </w:rPr>
        <w:t>24.92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273.57</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于预算数（或与预算数持平）的主要原因是</w:t>
      </w:r>
      <w:r>
        <w:rPr>
          <w:rFonts w:hint="default" w:ascii="Times New Roman" w:hAnsi="Times New Roman" w:eastAsia="仿宋_GB2312" w:cs="Times New Roman"/>
          <w:sz w:val="32"/>
          <w:szCs w:val="32"/>
          <w:lang w:val="en-US" w:eastAsia="zh-CN"/>
        </w:rPr>
        <w:t>2024年原川T78582报废，经县财政批复购置一辆新的公务用车24.99万元</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（注：上述“预算”口径为全年预算数，包括一般公共预算和政府性基金预算财政拨款支出决算情况。）</w:t>
      </w:r>
    </w:p>
    <w:p>
      <w:pPr>
        <w:pageBreakBefore w:val="0"/>
        <w:kinsoku/>
        <w:wordWrap/>
        <w:overflowPunct/>
        <w:topLinePunct w:val="0"/>
        <w:bidi w:val="0"/>
        <w:spacing w:line="576" w:lineRule="exact"/>
        <w:ind w:firstLine="640"/>
        <w:textAlignment w:val="auto"/>
        <w:outlineLvl w:val="2"/>
        <w:rPr>
          <w:rFonts w:hint="default" w:ascii="Times New Roman" w:hAnsi="Times New Roman" w:eastAsia="仿宋_GB2312" w:cs="Times New Roman"/>
          <w:b/>
          <w:sz w:val="32"/>
          <w:szCs w:val="32"/>
        </w:rPr>
      </w:pPr>
      <w:bookmarkStart w:id="37" w:name="_Toc15377217"/>
      <w:r>
        <w:rPr>
          <w:rFonts w:hint="eastAsia" w:ascii="楷体_GB2312" w:hAnsi="楷体_GB2312" w:eastAsia="楷体_GB2312" w:cs="楷体_GB2312"/>
          <w:b/>
          <w:sz w:val="32"/>
          <w:szCs w:val="32"/>
        </w:rPr>
        <w:t>（二）“三公”经费财政拨款支出决算具体情况说明</w:t>
      </w:r>
      <w:bookmarkEnd w:id="37"/>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年度“三公”经费财政拨款支出决算中，因公出国（境）费支出决算0万元，占0%；公务用车购置及运行维护费支出决算</w:t>
      </w:r>
      <w:r>
        <w:rPr>
          <w:rFonts w:hint="default" w:ascii="Times New Roman" w:hAnsi="Times New Roman" w:eastAsia="仿宋_GB2312" w:cs="Times New Roman"/>
          <w:sz w:val="32"/>
          <w:szCs w:val="32"/>
          <w:lang w:val="en-US" w:eastAsia="zh-CN"/>
        </w:rPr>
        <w:t>32.99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96.95</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3.05</w:t>
      </w:r>
      <w:r>
        <w:rPr>
          <w:rFonts w:hint="default" w:ascii="Times New Roman" w:hAnsi="Times New Roman" w:eastAsia="仿宋_GB2312" w:cs="Times New Roman"/>
          <w:sz w:val="32"/>
          <w:szCs w:val="32"/>
        </w:rPr>
        <w:t>%。具体情况如下：</w:t>
      </w:r>
    </w:p>
    <w:p>
      <w:pPr>
        <w:pStyle w:val="2"/>
        <w:jc w:val="cente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rPr>
        <w:t>0万元，</w:t>
      </w:r>
      <w:r>
        <w:rPr>
          <w:rStyle w:val="20"/>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rPr>
        <w:t>0</w:t>
      </w:r>
      <w:r>
        <w:rPr>
          <w:rStyle w:val="20"/>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全年安排因公出国（境）团组0次，出国（境）0人。因公出国（境）支出决算</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持平</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lang w:val="en-US" w:eastAsia="zh-CN"/>
        </w:rPr>
        <w:t>32.99</w:t>
      </w:r>
      <w:r>
        <w:rPr>
          <w:rFonts w:hint="default" w:ascii="Times New Roman" w:hAnsi="Times New Roman" w:eastAsia="仿宋_GB2312" w:cs="Times New Roman"/>
          <w:sz w:val="32"/>
          <w:szCs w:val="32"/>
        </w:rPr>
        <w:t>万元,</w:t>
      </w:r>
      <w:r>
        <w:rPr>
          <w:rStyle w:val="20"/>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lang w:val="en-US" w:eastAsia="zh-CN"/>
        </w:rPr>
        <w:t>439.87</w:t>
      </w:r>
      <w:r>
        <w:rPr>
          <w:rStyle w:val="20"/>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公务用车购置及运行维护费支出决算比202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25.02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313.71</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原川T78582报废，经县财政批复购置一辆新的公务用车24.99万元</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lang w:val="en-US" w:eastAsia="zh-CN"/>
        </w:rPr>
        <w:t>24.99</w:t>
      </w:r>
      <w:r>
        <w:rPr>
          <w:rFonts w:hint="default" w:ascii="Times New Roman" w:hAnsi="Times New Roman" w:eastAsia="仿宋_GB2312" w:cs="Times New Roman"/>
          <w:sz w:val="32"/>
          <w:szCs w:val="32"/>
        </w:rPr>
        <w:t>万元。截至202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年12月31日，单位共有公务用车</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lang w:eastAsia="zh-CN"/>
        </w:rPr>
        <w:t>，其他车型</w:t>
      </w:r>
      <w:r>
        <w:rPr>
          <w:rFonts w:hint="default" w:ascii="Times New Roman" w:hAnsi="Times New Roman" w:eastAsia="仿宋_GB2312" w:cs="Times New Roman"/>
          <w:sz w:val="32"/>
          <w:szCs w:val="32"/>
          <w:lang w:val="en-US" w:eastAsia="zh-CN"/>
        </w:rPr>
        <w:t>1辆</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巡视巡察办案</w:t>
      </w:r>
      <w:r>
        <w:rPr>
          <w:rFonts w:hint="default" w:ascii="Times New Roman" w:hAnsi="Times New Roman" w:eastAsia="仿宋_GB2312" w:cs="Times New Roman"/>
          <w:sz w:val="32"/>
          <w:szCs w:val="32"/>
        </w:rPr>
        <w:t>等所需的公务用车燃料费、维修费、过路过桥费、保险费等支出。</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w:t>
      </w:r>
      <w:r>
        <w:rPr>
          <w:rStyle w:val="20"/>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lang w:val="en-US" w:eastAsia="zh-CN"/>
        </w:rPr>
        <w:t>55.35</w:t>
      </w:r>
      <w:r>
        <w:rPr>
          <w:rFonts w:hint="default" w:ascii="Times New Roman" w:hAnsi="Times New Roman" w:eastAsia="仿宋_GB2312" w:cs="Times New Roman"/>
          <w:sz w:val="32"/>
          <w:szCs w:val="32"/>
        </w:rPr>
        <w:t>%</w:t>
      </w:r>
      <w:r>
        <w:rPr>
          <w:rStyle w:val="20"/>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公务接待费支出决算比202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年度减少</w:t>
      </w:r>
      <w:r>
        <w:rPr>
          <w:rFonts w:hint="default" w:ascii="Times New Roman" w:hAnsi="Times New Roman" w:eastAsia="仿宋_GB2312" w:cs="Times New Roman"/>
          <w:sz w:val="32"/>
          <w:szCs w:val="32"/>
          <w:lang w:val="en-US" w:eastAsia="zh-CN"/>
        </w:rPr>
        <w:t>0.96</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rPr>
        <w:t>%。主要原因是厉行节约，节省开支。其中：</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国内公务接待支出</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rPr>
        <w:t>万元，主要用于执行公务、开展业务活动开支的交通费、住宿费、用餐费等。国内公务接待</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rPr>
        <w:t>万元，具体内容包括：</w:t>
      </w:r>
      <w:r>
        <w:rPr>
          <w:rFonts w:hint="default" w:ascii="Times New Roman" w:hAnsi="Times New Roman" w:eastAsia="仿宋_GB2312" w:cs="Times New Roman"/>
          <w:sz w:val="32"/>
          <w:szCs w:val="32"/>
          <w:lang w:eastAsia="zh-CN"/>
        </w:rPr>
        <w:t>驻市发改委纪检组来宝开展督导检查、市纪委监委一室检查等等</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rPr>
        <w:t>外事接待支出</w:t>
      </w:r>
      <w:r>
        <w:rPr>
          <w:rFonts w:hint="default" w:ascii="Times New Roman" w:hAnsi="Times New Roman" w:eastAsia="仿宋_GB2312" w:cs="Times New Roman"/>
          <w:b w:val="0"/>
          <w:bCs/>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pageBreakBefore w:val="0"/>
        <w:kinsoku/>
        <w:wordWrap/>
        <w:overflowPunct/>
        <w:topLinePunct w:val="0"/>
        <w:bidi w:val="0"/>
        <w:spacing w:line="576" w:lineRule="exact"/>
        <w:ind w:firstLine="640" w:firstLineChars="200"/>
        <w:textAlignment w:val="auto"/>
        <w:outlineLvl w:val="1"/>
        <w:rPr>
          <w:rStyle w:val="35"/>
          <w:rFonts w:ascii="黑体" w:hAnsi="黑体" w:eastAsia="黑体"/>
        </w:rPr>
      </w:pPr>
      <w:bookmarkStart w:id="38" w:name="_Toc15396610"/>
      <w:bookmarkStart w:id="39" w:name="_Toc15377218"/>
      <w:r>
        <w:rPr>
          <w:rFonts w:hint="eastAsia" w:ascii="黑体" w:eastAsia="黑体"/>
          <w:sz w:val="32"/>
          <w:szCs w:val="32"/>
        </w:rPr>
        <w:t>八、</w:t>
      </w:r>
      <w:r>
        <w:rPr>
          <w:rStyle w:val="35"/>
          <w:rFonts w:hint="eastAsia" w:ascii="黑体" w:hAnsi="黑体" w:eastAsia="黑体"/>
          <w:b w:val="0"/>
        </w:rPr>
        <w:t>政府性基金预算支出决算情况说明</w:t>
      </w:r>
      <w:bookmarkEnd w:id="38"/>
      <w:bookmarkEnd w:id="39"/>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年度政府性基金预算财政拨款支出0万元。</w:t>
      </w:r>
    </w:p>
    <w:p>
      <w:pPr>
        <w:pageBreakBefore w:val="0"/>
        <w:numPr>
          <w:ilvl w:val="0"/>
          <w:numId w:val="3"/>
        </w:numPr>
        <w:kinsoku/>
        <w:wordWrap/>
        <w:overflowPunct/>
        <w:topLinePunct w:val="0"/>
        <w:bidi w:val="0"/>
        <w:spacing w:line="576" w:lineRule="exact"/>
        <w:ind w:firstLine="640"/>
        <w:textAlignment w:val="auto"/>
        <w:outlineLvl w:val="1"/>
        <w:rPr>
          <w:rStyle w:val="35"/>
          <w:rFonts w:ascii="黑体" w:hAnsi="黑体" w:eastAsia="黑体"/>
          <w:b w:val="0"/>
        </w:rPr>
      </w:pPr>
      <w:bookmarkStart w:id="40" w:name="_Toc15396611"/>
      <w:bookmarkStart w:id="41" w:name="_Toc15377219"/>
      <w:r>
        <w:rPr>
          <w:rStyle w:val="35"/>
          <w:rFonts w:hint="eastAsia" w:ascii="黑体" w:hAnsi="黑体" w:eastAsia="黑体"/>
          <w:b w:val="0"/>
        </w:rPr>
        <w:t>国有资本经营预算支出决算情况说明</w:t>
      </w:r>
      <w:bookmarkEnd w:id="40"/>
      <w:bookmarkEnd w:id="41"/>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年度国有资本经营预算财政拨款支出0万元。</w:t>
      </w:r>
    </w:p>
    <w:p>
      <w:pPr>
        <w:pageBreakBefore w:val="0"/>
        <w:numPr>
          <w:ilvl w:val="0"/>
          <w:numId w:val="3"/>
        </w:numPr>
        <w:kinsoku/>
        <w:wordWrap/>
        <w:overflowPunct/>
        <w:topLinePunct w:val="0"/>
        <w:bidi w:val="0"/>
        <w:spacing w:line="576" w:lineRule="exact"/>
        <w:ind w:firstLine="640"/>
        <w:textAlignment w:val="auto"/>
        <w:outlineLvl w:val="1"/>
        <w:rPr>
          <w:rStyle w:val="35"/>
          <w:rFonts w:ascii="黑体" w:hAnsi="黑体" w:eastAsia="黑体"/>
          <w:b w:val="0"/>
        </w:rPr>
      </w:pPr>
      <w:bookmarkStart w:id="42" w:name="_Toc15396612"/>
      <w:bookmarkStart w:id="43" w:name="_Toc15377221"/>
      <w:r>
        <w:rPr>
          <w:rStyle w:val="35"/>
          <w:rFonts w:hint="eastAsia" w:ascii="黑体" w:hAnsi="黑体" w:eastAsia="黑体"/>
          <w:b w:val="0"/>
        </w:rPr>
        <w:t>其他重要事项的情况说明</w:t>
      </w:r>
      <w:bookmarkEnd w:id="42"/>
      <w:bookmarkEnd w:id="43"/>
    </w:p>
    <w:p>
      <w:pPr>
        <w:pageBreakBefore w:val="0"/>
        <w:kinsoku/>
        <w:wordWrap/>
        <w:overflowPunct/>
        <w:topLinePunct w:val="0"/>
        <w:bidi w:val="0"/>
        <w:spacing w:line="576" w:lineRule="exact"/>
        <w:ind w:firstLine="643" w:firstLineChars="200"/>
        <w:textAlignment w:val="auto"/>
        <w:outlineLvl w:val="2"/>
        <w:rPr>
          <w:rFonts w:hint="default" w:ascii="Times New Roman" w:hAnsi="Times New Roman" w:eastAsia="仿宋_GB2312" w:cs="Times New Roman"/>
          <w:sz w:val="32"/>
          <w:szCs w:val="32"/>
        </w:rPr>
      </w:pPr>
      <w:bookmarkStart w:id="44" w:name="_Toc15377222"/>
      <w:r>
        <w:rPr>
          <w:rFonts w:hint="eastAsia" w:ascii="楷体_GB2312" w:hAnsi="楷体_GB2312" w:eastAsia="楷体_GB2312" w:cs="楷体_GB2312"/>
          <w:b/>
          <w:sz w:val="32"/>
          <w:szCs w:val="32"/>
        </w:rPr>
        <w:t>（一）机关运行经费支出情况</w:t>
      </w:r>
      <w:bookmarkEnd w:id="44"/>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年度，中国共产党宝兴县纪律检查委员会部门机关运行经费支出</w:t>
      </w:r>
      <w:r>
        <w:rPr>
          <w:rFonts w:hint="default" w:ascii="Times New Roman" w:hAnsi="Times New Roman" w:eastAsia="仿宋_GB2312" w:cs="Times New Roman"/>
          <w:sz w:val="32"/>
          <w:szCs w:val="32"/>
          <w:lang w:val="en-US" w:eastAsia="zh-CN"/>
        </w:rPr>
        <w:t>210.15</w:t>
      </w:r>
      <w:r>
        <w:rPr>
          <w:rFonts w:hint="default" w:ascii="Times New Roman" w:hAnsi="Times New Roman" w:eastAsia="仿宋_GB2312" w:cs="Times New Roman"/>
          <w:sz w:val="32"/>
          <w:szCs w:val="32"/>
        </w:rPr>
        <w:t>万元，比202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207.67万元增加2.48</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1.19</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2024年人员变动新进人员多余调出人员导致运行经费增加</w:t>
      </w:r>
      <w:r>
        <w:rPr>
          <w:rFonts w:hint="default" w:ascii="Times New Roman" w:hAnsi="Times New Roman" w:eastAsia="仿宋_GB2312" w:cs="Times New Roman"/>
          <w:sz w:val="32"/>
          <w:szCs w:val="32"/>
        </w:rPr>
        <w:t>。</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（注：数据来源于财决附03表）</w:t>
      </w:r>
    </w:p>
    <w:p>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eastAsia" w:ascii="楷体_GB2312" w:hAnsi="楷体_GB2312" w:eastAsia="楷体_GB2312" w:cs="楷体_GB2312"/>
          <w:b/>
          <w:sz w:val="32"/>
          <w:szCs w:val="32"/>
        </w:rPr>
      </w:pPr>
      <w:bookmarkStart w:id="45" w:name="_Toc15377223"/>
      <w:r>
        <w:rPr>
          <w:rFonts w:hint="eastAsia" w:ascii="楷体_GB2312" w:hAnsi="楷体_GB2312" w:eastAsia="楷体_GB2312" w:cs="楷体_GB2312"/>
          <w:b/>
          <w:sz w:val="32"/>
          <w:szCs w:val="32"/>
        </w:rPr>
        <w:t>（二）政府采购支出情况</w:t>
      </w:r>
      <w:bookmarkEnd w:id="45"/>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年度，中国共产党宝兴县纪律检查委员会部门政府采购支出总额</w:t>
      </w:r>
      <w:r>
        <w:rPr>
          <w:rFonts w:hint="default" w:ascii="Times New Roman" w:hAnsi="Times New Roman" w:eastAsia="仿宋_GB2312" w:cs="Times New Roman"/>
          <w:sz w:val="32"/>
          <w:szCs w:val="32"/>
          <w:lang w:val="en-US" w:eastAsia="zh-CN"/>
        </w:rPr>
        <w:t>38.71</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37.65</w:t>
      </w:r>
      <w:r>
        <w:rPr>
          <w:rFonts w:hint="default" w:ascii="Times New Roman" w:hAnsi="Times New Roman" w:eastAsia="仿宋_GB2312" w:cs="Times New Roman"/>
          <w:sz w:val="32"/>
          <w:szCs w:val="32"/>
        </w:rPr>
        <w:t>万元、政府采购工程支出0万元、政府采购服务支出</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购置公务用车一辆</w:t>
      </w:r>
      <w:r>
        <w:rPr>
          <w:rFonts w:hint="default" w:ascii="Times New Roman" w:hAnsi="Times New Roman" w:eastAsia="仿宋_GB2312" w:cs="Times New Roman"/>
          <w:sz w:val="32"/>
          <w:szCs w:val="32"/>
          <w:lang w:val="en-US" w:eastAsia="zh-CN"/>
        </w:rPr>
        <w:t>24.99万元，购置办公用品12.66万元，购置3辆公务用车保险1.06万元</w:t>
      </w:r>
      <w:r>
        <w:rPr>
          <w:rFonts w:hint="default" w:ascii="Times New Roman" w:hAnsi="Times New Roman" w:eastAsia="仿宋_GB2312" w:cs="Times New Roman"/>
          <w:sz w:val="32"/>
          <w:szCs w:val="32"/>
        </w:rPr>
        <w:t>。授予中小企业合同金额0万元，占政府采购支出总额的0%，其中：授予小微企业合同金额0万元，占政府采购支出总额的0%。</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（注：数据来源于财决附03表）</w:t>
      </w:r>
    </w:p>
    <w:p>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default" w:ascii="Times New Roman" w:hAnsi="Times New Roman" w:eastAsia="仿宋_GB2312" w:cs="Times New Roman"/>
          <w:b/>
          <w:sz w:val="32"/>
          <w:szCs w:val="32"/>
        </w:rPr>
      </w:pPr>
      <w:bookmarkStart w:id="46" w:name="_Toc15377224"/>
      <w:r>
        <w:rPr>
          <w:rFonts w:hint="eastAsia" w:ascii="楷体_GB2312" w:hAnsi="楷体_GB2312" w:eastAsia="楷体_GB2312" w:cs="楷体_GB2312"/>
          <w:b/>
          <w:sz w:val="32"/>
          <w:szCs w:val="32"/>
        </w:rPr>
        <w:t>（三）国有资产占有使用情况</w:t>
      </w:r>
      <w:bookmarkEnd w:id="46"/>
    </w:p>
    <w:p>
      <w:pPr>
        <w:pageBreakBefore w:val="0"/>
        <w:kinsoku/>
        <w:wordWrap/>
        <w:overflowPunct/>
        <w:topLinePunct w:val="0"/>
        <w:autoSpaceDE w:val="0"/>
        <w:autoSpaceDN w:val="0"/>
        <w:bidi w:val="0"/>
        <w:adjustRightInd w:val="0"/>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年12月31日，中国共产党宝兴县纪律检查委员会部门共有车辆3辆，其中：主要领导干部用车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color w:val="000000"/>
          <w:kern w:val="2"/>
          <w:sz w:val="32"/>
          <w:lang w:val="zh-CN"/>
        </w:rPr>
        <w:t>执法执勤用车3辆</w:t>
      </w:r>
      <w:r>
        <w:rPr>
          <w:rFonts w:hint="default" w:ascii="Times New Roman" w:hAnsi="Times New Roman" w:eastAsia="仿宋_GB2312" w:cs="Times New Roman"/>
          <w:sz w:val="32"/>
          <w:szCs w:val="32"/>
        </w:rPr>
        <w:t>。单价100万元以上设备（不含车辆）0台（套）。</w:t>
      </w:r>
    </w:p>
    <w:p>
      <w:pPr>
        <w:pageBreakBefore w:val="0"/>
        <w:kinsoku/>
        <w:wordWrap/>
        <w:overflowPunct/>
        <w:topLinePunct w:val="0"/>
        <w:autoSpaceDE w:val="0"/>
        <w:autoSpaceDN w:val="0"/>
        <w:bidi w:val="0"/>
        <w:adjustRightInd w:val="0"/>
        <w:spacing w:line="576"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（注：数据来源于财决附03表，按部门决算报表填报数据罗列车辆情况。）</w:t>
      </w:r>
    </w:p>
    <w:p>
      <w:pPr>
        <w:pageBreakBefore w:val="0"/>
        <w:kinsoku/>
        <w:wordWrap/>
        <w:overflowPunct/>
        <w:topLinePunct w:val="0"/>
        <w:autoSpaceDE w:val="0"/>
        <w:autoSpaceDN w:val="0"/>
        <w:bidi w:val="0"/>
        <w:adjustRightInd w:val="0"/>
        <w:spacing w:line="576" w:lineRule="exact"/>
        <w:ind w:firstLine="643" w:firstLineChars="200"/>
        <w:jc w:val="left"/>
        <w:textAlignment w:val="auto"/>
        <w:outlineLvl w:val="2"/>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（四）预算绩效管理情况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Style w:val="20"/>
          <w:rFonts w:hint="default" w:ascii="Times New Roman" w:hAnsi="Times New Roman" w:eastAsia="仿宋_GB2312" w:cs="Times New Roman"/>
          <w:b w:val="0"/>
          <w:bCs/>
          <w:color w:val="auto"/>
          <w:spacing w:val="0"/>
          <w:sz w:val="32"/>
          <w:szCs w:val="32"/>
          <w:lang w:val="en-US" w:eastAsia="zh-CN"/>
        </w:rPr>
      </w:pPr>
      <w:r>
        <w:rPr>
          <w:rStyle w:val="20"/>
          <w:rFonts w:hint="default" w:ascii="Times New Roman" w:hAnsi="Times New Roman" w:eastAsia="仿宋_GB2312" w:cs="Times New Roman"/>
          <w:b w:val="0"/>
          <w:bCs/>
          <w:color w:val="auto"/>
          <w:spacing w:val="0"/>
          <w:sz w:val="32"/>
          <w:szCs w:val="32"/>
          <w:lang w:val="en-US" w:eastAsia="zh-CN"/>
        </w:rPr>
        <w:t>2024年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县纪委</w:t>
      </w:r>
      <w:r>
        <w:rPr>
          <w:rStyle w:val="20"/>
          <w:rFonts w:hint="default" w:ascii="Times New Roman" w:hAnsi="Times New Roman" w:eastAsia="仿宋_GB2312" w:cs="Times New Roman"/>
          <w:b w:val="0"/>
          <w:bCs/>
          <w:color w:val="auto"/>
          <w:spacing w:val="0"/>
          <w:sz w:val="32"/>
          <w:szCs w:val="32"/>
          <w:lang w:val="en-US" w:eastAsia="zh-CN"/>
        </w:rPr>
        <w:t>完成了“巡察保障”、“纪检监察审查调查”、“大案要案”、“党风廉政建设社会评价工作”等重点项目工作，</w:t>
      </w:r>
      <w:r>
        <w:rPr>
          <w:rFonts w:hint="default" w:ascii="Times New Roman" w:hAnsi="Times New Roman" w:eastAsia="仿宋_GB2312" w:cs="Times New Roman"/>
          <w:kern w:val="2"/>
          <w:sz w:val="32"/>
          <w:szCs w:val="32"/>
          <w:u w:val="none"/>
          <w:lang w:val="en-US" w:eastAsia="zh-CN" w:bidi="ar-SA"/>
        </w:rPr>
        <w:t>围</w:t>
      </w:r>
      <w:r>
        <w:rPr>
          <w:rFonts w:hint="default" w:ascii="Times New Roman" w:hAnsi="Times New Roman" w:eastAsia="仿宋_GB2312" w:cs="Times New Roman"/>
          <w:color w:val="auto"/>
          <w:sz w:val="32"/>
          <w:szCs w:val="32"/>
          <w:u w:val="none"/>
          <w:lang w:val="en-US" w:eastAsia="zh-CN"/>
        </w:rPr>
        <w:t>绕“国之大者”，聚焦乡村振兴、生态环境保护、大熊猫国家公园建设、县城功能疏解等中心任务</w:t>
      </w:r>
      <w:r>
        <w:rPr>
          <w:rFonts w:hint="default" w:ascii="Times New Roman" w:hAnsi="Times New Roman" w:eastAsia="仿宋_GB2312" w:cs="Times New Roman"/>
          <w:sz w:val="32"/>
          <w:szCs w:val="32"/>
          <w:u w:val="none"/>
          <w:lang w:val="en-US" w:eastAsia="zh-CN"/>
        </w:rPr>
        <w:t>牢牢扛起管党治党政治责任，坚定不移推进全面从严治党，全县党风廉政建设和反腐败工作取得新进展新成效</w:t>
      </w:r>
      <w:r>
        <w:rPr>
          <w:rStyle w:val="20"/>
          <w:rFonts w:hint="default" w:ascii="Times New Roman" w:hAnsi="Times New Roman" w:eastAsia="仿宋_GB2312" w:cs="Times New Roman"/>
          <w:b w:val="0"/>
          <w:bCs/>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我单位对</w:t>
      </w:r>
      <w:r>
        <w:rPr>
          <w:rFonts w:hint="default" w:ascii="Times New Roman" w:hAnsi="Times New Roman" w:eastAsia="仿宋_GB2312" w:cs="Times New Roman"/>
          <w:sz w:val="32"/>
          <w:szCs w:val="32"/>
        </w:rPr>
        <w:t>一般公共预算、政府性基金预算、国有资本经营预算、社会保险基金预算以及资本资产、债券资金等全面开展绩效自评，形成中共宝兴县纪委部门整体（含部门预算项目）绩效自评报告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公务用车运行维护费、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巡察保障经费、党风廉政建设社会评价工作经费</w:t>
      </w:r>
      <w:r>
        <w:rPr>
          <w:rFonts w:hint="default" w:ascii="Times New Roman" w:hAnsi="Times New Roman" w:eastAsia="仿宋_GB2312" w:cs="Times New Roman"/>
          <w:sz w:val="32"/>
          <w:szCs w:val="32"/>
          <w:lang w:eastAsia="zh-CN"/>
        </w:rPr>
        <w:t>三个</w:t>
      </w:r>
      <w:r>
        <w:rPr>
          <w:rFonts w:hint="default" w:ascii="Times New Roman" w:hAnsi="Times New Roman" w:eastAsia="仿宋_GB2312" w:cs="Times New Roman"/>
          <w:sz w:val="32"/>
          <w:szCs w:val="32"/>
        </w:rPr>
        <w:t>专项预算项目绩效自评报告，其中，中共宝兴县纪委部门整体（含部门预算项目）绩效自评得分为</w:t>
      </w:r>
      <w:r>
        <w:rPr>
          <w:rFonts w:hint="default" w:ascii="Times New Roman" w:hAnsi="Times New Roman" w:eastAsia="仿宋_GB2312" w:cs="Times New Roman"/>
          <w:sz w:val="32"/>
          <w:szCs w:val="32"/>
          <w:lang w:val="en-US" w:eastAsia="zh-CN"/>
        </w:rPr>
        <w:t>98</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sz w:val="32"/>
          <w:szCs w:val="32"/>
          <w:lang w:eastAsia="zh-CN"/>
        </w:rPr>
        <w:t>对照《202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年度县级部门整体绩效评价指标体系》设定的绩效指标和计分标准，</w:t>
      </w:r>
      <w:r>
        <w:rPr>
          <w:rFonts w:hint="default" w:ascii="Times New Roman" w:hAnsi="Times New Roman" w:eastAsia="仿宋_GB2312" w:cs="Times New Roman"/>
          <w:sz w:val="32"/>
          <w:szCs w:val="32"/>
          <w:lang w:val="en-US" w:eastAsia="zh-CN"/>
        </w:rPr>
        <w:t>县纪委2024年度部门整体支出绩效自我评价综合得分98分，县纪委部门整体支出绩效总体较好。</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2024年度中共宝兴县纪委预算项目支出绩效自评表(公用经费类)、（人员类）、(项目类)详见附件。</w:t>
      </w: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Style w:val="2"/>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p>
    <w:p>
      <w:pPr>
        <w:pageBreakBefore w:val="0"/>
        <w:kinsoku/>
        <w:wordWrap/>
        <w:overflowPunct/>
        <w:topLinePunct w:val="0"/>
        <w:bidi w:val="0"/>
        <w:spacing w:line="576" w:lineRule="exact"/>
        <w:textAlignment w:val="auto"/>
      </w:pPr>
    </w:p>
    <w:p>
      <w:pPr>
        <w:rPr>
          <w:rStyle w:val="34"/>
          <w:rFonts w:ascii="黑体" w:hAnsi="黑体" w:eastAsia="黑体"/>
          <w:b w:val="0"/>
        </w:rPr>
      </w:pPr>
      <w:bookmarkStart w:id="47" w:name="_Toc15377225"/>
      <w:bookmarkStart w:id="48" w:name="_Toc15396613"/>
      <w:r>
        <w:rPr>
          <w:rFonts w:hint="eastAsia" w:ascii="黑体" w:hAnsi="黑体" w:eastAsia="黑体"/>
          <w:sz w:val="44"/>
          <w:szCs w:val="44"/>
        </w:rPr>
        <w:br w:type="page"/>
      </w:r>
    </w:p>
    <w:p>
      <w:pPr>
        <w:pageBreakBefore w:val="0"/>
        <w:numPr>
          <w:ilvl w:val="0"/>
          <w:numId w:val="0"/>
        </w:numPr>
        <w:kinsoku/>
        <w:wordWrap/>
        <w:overflowPunct/>
        <w:topLinePunct w:val="0"/>
        <w:bidi w:val="0"/>
        <w:spacing w:line="576" w:lineRule="exact"/>
        <w:jc w:val="center"/>
        <w:textAlignment w:val="auto"/>
        <w:outlineLvl w:val="0"/>
        <w:rPr>
          <w:rStyle w:val="34"/>
          <w:rFonts w:hint="eastAsia" w:ascii="仿宋_GB2312" w:hAnsi="仿宋_GB2312" w:eastAsia="仿宋_GB2312" w:cs="仿宋_GB2312"/>
          <w:b w:val="0"/>
        </w:rPr>
      </w:pPr>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34"/>
          <w:rFonts w:hint="eastAsia" w:ascii="方正小标宋_GBK" w:hAnsi="方正小标宋_GBK" w:eastAsia="方正小标宋_GBK" w:cs="方正小标宋_GBK"/>
          <w:b w:val="0"/>
        </w:rPr>
        <w:t>词解释</w:t>
      </w:r>
      <w:bookmarkEnd w:id="47"/>
      <w:bookmarkEnd w:id="48"/>
    </w:p>
    <w:p>
      <w:pPr>
        <w:pageBreakBefore w:val="0"/>
        <w:kinsoku/>
        <w:wordWrap/>
        <w:overflowPunct/>
        <w:topLinePunct w:val="0"/>
        <w:bidi w:val="0"/>
        <w:spacing w:line="576" w:lineRule="exact"/>
        <w:jc w:val="left"/>
        <w:textAlignment w:val="auto"/>
        <w:rPr>
          <w:rFonts w:ascii="宋体"/>
          <w:b/>
          <w:sz w:val="44"/>
          <w:szCs w:val="44"/>
        </w:rPr>
      </w:pP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1.财政拨款收入：指单位从同级财政单位取得的财政预算资金。</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2.事业收入：指事业单位开展专业业务活动及辅助活动取得的收入。</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3.经营收入：指事业单位在专业业务活动及其辅助活动之外开展非独立核算经营活动取得的收入。</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4.其他收入：指单位取得的除上述收入以外的各项收入。</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 xml:space="preserve">5.使用非财政拨款结余：指事业单位使用以前年度积累的非财政拨款结余弥补当年收支差额的金额。 </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 xml:space="preserve">6.年初结转和结余：指以前年度尚未完成、结转到本年按有关规定继续使用的资金。 </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7.结余分配：指事业单位按照会计制度规定缴纳的所得税、提取的专用结余以及转入非财政拨款结余的金额等。</w:t>
      </w:r>
    </w:p>
    <w:p>
      <w:pPr>
        <w:pageBreakBefore w:val="0"/>
        <w:kinsoku/>
        <w:wordWrap/>
        <w:overflowPunct/>
        <w:topLinePunct w:val="0"/>
        <w:bidi w:val="0"/>
        <w:spacing w:line="576" w:lineRule="exact"/>
        <w:ind w:firstLine="64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8.年末结转和结余：指单位按有关规定结转到下年或以后年度继续使用的资金。</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9.</w:t>
      </w:r>
      <w:r>
        <w:rPr>
          <w:rFonts w:hint="default" w:ascii="Times New Roman" w:hAnsi="Times New Roman" w:eastAsia="仿宋_GB2312" w:cs="Times New Roman"/>
          <w:color w:val="000000"/>
          <w:sz w:val="32"/>
        </w:rPr>
        <w:t xml:space="preserve"> 一般公共服务（类）纪检监察事务（款）行政运行（项）：指县纪委监委机关基本支出</w:t>
      </w:r>
      <w:r>
        <w:rPr>
          <w:rFonts w:hint="default" w:ascii="Times New Roman" w:hAnsi="Times New Roman" w:eastAsia="仿宋_GB2312" w:cs="Times New Roman"/>
          <w:color w:val="000000"/>
          <w:kern w:val="2"/>
          <w:sz w:val="32"/>
        </w:rPr>
        <w:t>。</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10.</w:t>
      </w:r>
      <w:r>
        <w:rPr>
          <w:rFonts w:hint="default" w:ascii="Times New Roman" w:hAnsi="Times New Roman" w:eastAsia="仿宋_GB2312" w:cs="Times New Roman"/>
          <w:sz w:val="32"/>
        </w:rPr>
        <w:t xml:space="preserve"> 一般公共服务（类）纪检监察事务（款）一般行政管理事务（项）指用于全县党风廉政建设和反腐败工作的支出。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11.</w:t>
      </w:r>
      <w:r>
        <w:rPr>
          <w:rFonts w:hint="default" w:ascii="Times New Roman" w:hAnsi="Times New Roman" w:eastAsia="仿宋_GB2312" w:cs="Times New Roman"/>
          <w:sz w:val="32"/>
        </w:rPr>
        <w:t xml:space="preserve"> 一般公共服务（类）纪检监察事务（款）大案要案查办（项）指查办大案要案的支出。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12.</w:t>
      </w:r>
      <w:r>
        <w:rPr>
          <w:rFonts w:hint="default" w:ascii="Times New Roman" w:hAnsi="Times New Roman" w:eastAsia="仿宋_GB2312" w:cs="Times New Roman"/>
          <w:sz w:val="32"/>
        </w:rPr>
        <w:t xml:space="preserve"> 一般公共服务（类）纪检监察事务（款）其他纪检监察事务支出（项）指乡镇纪委办公经费支出。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13.</w:t>
      </w:r>
      <w:r>
        <w:rPr>
          <w:rFonts w:hint="default" w:ascii="Times New Roman" w:hAnsi="Times New Roman" w:eastAsia="仿宋_GB2312" w:cs="Times New Roman"/>
          <w:sz w:val="32"/>
        </w:rPr>
        <w:t xml:space="preserve"> 社会保障和就业（类）行政事业单位离退休（款）未归口管理的行政单位离退休（项）指县纪委监委离退休人员工资支出。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000000"/>
          <w:kern w:val="2"/>
          <w:sz w:val="32"/>
        </w:rPr>
        <w:t>14.</w:t>
      </w:r>
      <w:r>
        <w:rPr>
          <w:rFonts w:hint="default" w:ascii="Times New Roman" w:hAnsi="Times New Roman" w:eastAsia="仿宋_GB2312" w:cs="Times New Roman"/>
          <w:sz w:val="32"/>
        </w:rPr>
        <w:t xml:space="preserve"> 社会保障和就业（类）行政事业单位离退休（款）机关事业单位养老保险缴费支出（项）指县纪委监委人员养老保险缴费支出。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15.</w:t>
      </w:r>
      <w:r>
        <w:rPr>
          <w:rFonts w:hint="default" w:ascii="Times New Roman" w:hAnsi="Times New Roman" w:eastAsia="仿宋_GB2312" w:cs="Times New Roman"/>
          <w:sz w:val="32"/>
        </w:rPr>
        <w:t xml:space="preserve"> 社会保障和就业（类）行政事业单位离退休（款）其他行政事业单位离退休支出（项）指县纪委监委退休人员春节慰问金支出。</w:t>
      </w:r>
    </w:p>
    <w:p>
      <w:pPr>
        <w:pageBreakBefore w:val="0"/>
        <w:kinsoku/>
        <w:wordWrap/>
        <w:overflowPunct/>
        <w:topLinePunct w:val="0"/>
        <w:bidi w:val="0"/>
        <w:snapToGrid w:val="0"/>
        <w:spacing w:line="576"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16.</w:t>
      </w:r>
      <w:r>
        <w:rPr>
          <w:rFonts w:hint="default" w:ascii="Times New Roman" w:hAnsi="Times New Roman" w:eastAsia="仿宋_GB2312" w:cs="Times New Roman"/>
          <w:sz w:val="32"/>
        </w:rPr>
        <w:t xml:space="preserve"> 社会保障和就业（类）其他社会保障和就业支出（款）其他社会保障和就业支出（项）指县纪委监委事业人员失业保险和工伤保险缴费支出。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kern w:val="2"/>
          <w:sz w:val="32"/>
        </w:rPr>
        <w:t>17.</w:t>
      </w:r>
      <w:r>
        <w:rPr>
          <w:rFonts w:hint="default" w:ascii="Times New Roman" w:hAnsi="Times New Roman" w:eastAsia="仿宋_GB2312" w:cs="Times New Roman"/>
          <w:color w:val="000000"/>
          <w:sz w:val="32"/>
        </w:rPr>
        <w:t xml:space="preserve"> 卫生健康支出（类）行政事业单位医疗（款）行政单位医疗（项）：指</w:t>
      </w:r>
      <w:r>
        <w:rPr>
          <w:rFonts w:hint="default" w:ascii="Times New Roman" w:hAnsi="Times New Roman" w:eastAsia="仿宋_GB2312" w:cs="Times New Roman"/>
          <w:sz w:val="32"/>
        </w:rPr>
        <w:t>县纪委监委人员</w:t>
      </w:r>
      <w:r>
        <w:rPr>
          <w:rFonts w:hint="default" w:ascii="Times New Roman" w:hAnsi="Times New Roman" w:eastAsia="仿宋_GB2312" w:cs="Times New Roman"/>
          <w:color w:val="000000"/>
          <w:sz w:val="32"/>
        </w:rPr>
        <w:t>基本医疗保险缴费支出。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18.</w:t>
      </w:r>
      <w:r>
        <w:rPr>
          <w:rFonts w:hint="default" w:ascii="Times New Roman" w:hAnsi="Times New Roman" w:eastAsia="仿宋_GB2312" w:cs="Times New Roman"/>
          <w:color w:val="000000"/>
          <w:sz w:val="32"/>
        </w:rPr>
        <w:t xml:space="preserve"> 卫生健康支出（类）行政事业单位医疗（款）事业单位医疗（项）：指事业人员基本医疗保险缴费支出。</w:t>
      </w:r>
    </w:p>
    <w:p>
      <w:pPr>
        <w:pageBreakBefore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kern w:val="2"/>
          <w:sz w:val="32"/>
        </w:rPr>
      </w:pPr>
      <w:r>
        <w:rPr>
          <w:rFonts w:hint="default" w:ascii="Times New Roman" w:hAnsi="Times New Roman" w:eastAsia="仿宋_GB2312" w:cs="Times New Roman"/>
          <w:color w:val="000000"/>
          <w:kern w:val="2"/>
          <w:sz w:val="32"/>
        </w:rPr>
        <w:t>19.</w:t>
      </w:r>
      <w:r>
        <w:rPr>
          <w:rFonts w:hint="default" w:ascii="Times New Roman" w:hAnsi="Times New Roman" w:eastAsia="仿宋_GB2312" w:cs="Times New Roman"/>
          <w:sz w:val="32"/>
        </w:rPr>
        <w:t xml:space="preserve"> 住房保障支出（类）住房改革支出（款）住房公积金（项）指县纪委监委人员住房公积金缴费支出。</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31.机关运行经费：为保障行政单位（含参照</w:t>
      </w:r>
      <w:r>
        <w:rPr>
          <w:rFonts w:hint="eastAsia" w:eastAsia="仿宋_GB2312" w:cs="Times New Roman"/>
          <w:sz w:val="32"/>
          <w:szCs w:val="32"/>
          <w:lang w:eastAsia="zh-CN"/>
        </w:rPr>
        <w:t>《中华人民共和国</w:t>
      </w:r>
      <w:r>
        <w:rPr>
          <w:rFonts w:hint="default" w:ascii="Times New Roman" w:hAnsi="Times New Roman" w:eastAsia="仿宋_GB2312" w:cs="Times New Roman"/>
          <w:sz w:val="32"/>
          <w:szCs w:val="32"/>
        </w:rPr>
        <w:t>公务员法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（名词解释部分请根据各单位实际列支情况罗列，并根据本单位职责职能增减名词解释内容。）</w:t>
      </w:r>
    </w:p>
    <w:p>
      <w:pPr>
        <w:rPr>
          <w:rFonts w:hint="eastAsia" w:ascii="方正小标宋_GBK" w:hAnsi="方正小标宋_GBK" w:eastAsia="方正小标宋_GBK" w:cs="方正小标宋_GBK"/>
          <w:sz w:val="44"/>
          <w:szCs w:val="44"/>
        </w:rPr>
      </w:pPr>
      <w:bookmarkStart w:id="49" w:name="_Toc15396614"/>
      <w:bookmarkStart w:id="50" w:name="_Toc15377226"/>
      <w:bookmarkStart w:id="65" w:name="_GoBack"/>
      <w:bookmarkEnd w:id="65"/>
      <w:r>
        <w:rPr>
          <w:rFonts w:hint="eastAsia" w:ascii="方正小标宋_GBK" w:hAnsi="方正小标宋_GBK" w:eastAsia="方正小标宋_GBK" w:cs="方正小标宋_GBK"/>
          <w:sz w:val="44"/>
          <w:szCs w:val="44"/>
        </w:rPr>
        <w:br w:type="page"/>
      </w:r>
    </w:p>
    <w:p>
      <w:pPr>
        <w:pageBreakBefore w:val="0"/>
        <w:kinsoku/>
        <w:wordWrap/>
        <w:overflowPunct/>
        <w:topLinePunct w:val="0"/>
        <w:bidi w:val="0"/>
        <w:spacing w:line="576" w:lineRule="exact"/>
        <w:jc w:val="center"/>
        <w:textAlignment w:val="auto"/>
        <w:outlineLvl w:val="0"/>
        <w:rPr>
          <w:rStyle w:val="34"/>
          <w:rFonts w:ascii="黑体" w:hAnsi="黑体" w:eastAsia="黑体"/>
          <w:b w:val="0"/>
        </w:rPr>
      </w:pPr>
      <w:r>
        <w:rPr>
          <w:rFonts w:hint="eastAsia" w:ascii="方正小标宋_GBK" w:hAnsi="方正小标宋_GBK" w:eastAsia="方正小标宋_GBK" w:cs="方正小标宋_GBK"/>
          <w:sz w:val="44"/>
          <w:szCs w:val="44"/>
        </w:rPr>
        <w:t>第</w:t>
      </w:r>
      <w:r>
        <w:rPr>
          <w:rStyle w:val="34"/>
          <w:rFonts w:hint="eastAsia" w:ascii="方正小标宋_GBK" w:hAnsi="方正小标宋_GBK" w:eastAsia="方正小标宋_GBK" w:cs="方正小标宋_GBK"/>
          <w:b w:val="0"/>
        </w:rPr>
        <w:t>四部分 附件</w:t>
      </w:r>
      <w:bookmarkEnd w:id="49"/>
    </w:p>
    <w:p>
      <w:pPr>
        <w:pageBreakBefore w:val="0"/>
        <w:kinsoku/>
        <w:wordWrap/>
        <w:overflowPunct/>
        <w:topLinePunct w:val="0"/>
        <w:bidi w:val="0"/>
        <w:spacing w:line="576" w:lineRule="exact"/>
        <w:jc w:val="left"/>
        <w:textAlignment w:val="auto"/>
        <w:outlineLvl w:val="0"/>
        <w:rPr>
          <w:rFonts w:ascii="仿宋_GB2312" w:hAnsi="仿宋_GB2312" w:eastAsia="仿宋_GB2312" w:cs="仿宋_GB2312"/>
          <w:sz w:val="32"/>
          <w:szCs w:val="32"/>
        </w:rPr>
      </w:pPr>
    </w:p>
    <w:p>
      <w:pPr>
        <w:pStyle w:val="40"/>
        <w:pageBreakBefore w:val="0"/>
        <w:kinsoku/>
        <w:wordWrap/>
        <w:overflowPunct/>
        <w:topLinePunct w:val="0"/>
        <w:bidi w:val="0"/>
        <w:spacing w:line="576" w:lineRule="exact"/>
        <w:ind w:firstLine="640" w:firstLineChars="200"/>
        <w:textAlignment w:val="auto"/>
        <w:rPr>
          <w:rStyle w:val="20"/>
          <w:rFonts w:hint="default" w:ascii="Times New Roman" w:hAnsi="Times New Roman" w:eastAsia="仿宋_GB2312" w:cs="Times New Roman"/>
          <w:b w:val="0"/>
          <w:bCs/>
          <w:sz w:val="32"/>
          <w:szCs w:val="32"/>
          <w:u w:val="none"/>
          <w:lang w:val="en-US" w:eastAsia="zh-CN"/>
        </w:rPr>
      </w:pPr>
      <w:bookmarkStart w:id="51" w:name="_Toc15396618"/>
      <w:r>
        <w:rPr>
          <w:rStyle w:val="20"/>
          <w:rFonts w:hint="default" w:ascii="Times New Roman" w:hAnsi="Times New Roman" w:eastAsia="仿宋_GB2312" w:cs="Times New Roman"/>
          <w:b w:val="0"/>
          <w:bCs/>
          <w:sz w:val="32"/>
          <w:szCs w:val="32"/>
          <w:u w:val="none"/>
          <w:lang w:val="en-US" w:eastAsia="zh-CN"/>
        </w:rPr>
        <w:t>部门预算项目支出绩效自评表（2024年度），详见</w:t>
      </w:r>
    </w:p>
    <w:p>
      <w:pPr>
        <w:pStyle w:val="40"/>
        <w:pageBreakBefore w:val="0"/>
        <w:kinsoku/>
        <w:wordWrap/>
        <w:overflowPunct/>
        <w:topLinePunct w:val="0"/>
        <w:bidi w:val="0"/>
        <w:spacing w:line="576" w:lineRule="exact"/>
        <w:ind w:firstLine="640" w:firstLineChars="200"/>
        <w:textAlignment w:val="auto"/>
        <w:rPr>
          <w:rStyle w:val="20"/>
          <w:rFonts w:hint="default" w:ascii="Times New Roman" w:hAnsi="Times New Roman" w:eastAsia="仿宋_GB2312" w:cs="Times New Roman"/>
          <w:b w:val="0"/>
          <w:bCs/>
          <w:sz w:val="32"/>
          <w:szCs w:val="32"/>
          <w:u w:val="none"/>
          <w:lang w:val="en-US" w:eastAsia="zh-CN"/>
        </w:rPr>
      </w:pPr>
      <w:r>
        <w:rPr>
          <w:rStyle w:val="20"/>
          <w:rFonts w:hint="default" w:ascii="Times New Roman" w:hAnsi="Times New Roman" w:eastAsia="仿宋_GB2312" w:cs="Times New Roman"/>
          <w:b w:val="0"/>
          <w:bCs/>
          <w:sz w:val="32"/>
          <w:szCs w:val="32"/>
          <w:u w:val="none"/>
          <w:lang w:val="en-US" w:eastAsia="zh-CN"/>
        </w:rPr>
        <w:t>附件 3-1:2024年度纪委部门预算项目支出绩效自评表（公用经费类）</w:t>
      </w:r>
    </w:p>
    <w:p>
      <w:pPr>
        <w:pStyle w:val="40"/>
        <w:pageBreakBefore w:val="0"/>
        <w:kinsoku/>
        <w:wordWrap/>
        <w:overflowPunct/>
        <w:topLinePunct w:val="0"/>
        <w:bidi w:val="0"/>
        <w:spacing w:line="576" w:lineRule="exact"/>
        <w:ind w:firstLine="640" w:firstLineChars="200"/>
        <w:textAlignment w:val="auto"/>
        <w:rPr>
          <w:rStyle w:val="20"/>
          <w:rFonts w:hint="default" w:ascii="Times New Roman" w:hAnsi="Times New Roman" w:eastAsia="仿宋_GB2312" w:cs="Times New Roman"/>
          <w:b w:val="0"/>
          <w:bCs/>
          <w:sz w:val="32"/>
          <w:szCs w:val="32"/>
          <w:u w:val="none"/>
          <w:lang w:val="en-US" w:eastAsia="zh-CN"/>
        </w:rPr>
      </w:pPr>
      <w:r>
        <w:rPr>
          <w:rStyle w:val="20"/>
          <w:rFonts w:hint="default" w:ascii="Times New Roman" w:hAnsi="Times New Roman" w:eastAsia="仿宋_GB2312" w:cs="Times New Roman"/>
          <w:b w:val="0"/>
          <w:bCs/>
          <w:sz w:val="32"/>
          <w:szCs w:val="32"/>
          <w:u w:val="none"/>
          <w:lang w:val="en-US" w:eastAsia="zh-CN"/>
        </w:rPr>
        <w:t>附件3-2:2024年度纪委部门预算项目支出绩效自评表(人员类)</w:t>
      </w:r>
    </w:p>
    <w:p>
      <w:pPr>
        <w:pStyle w:val="40"/>
        <w:pageBreakBefore w:val="0"/>
        <w:kinsoku/>
        <w:wordWrap/>
        <w:overflowPunct/>
        <w:topLinePunct w:val="0"/>
        <w:bidi w:val="0"/>
        <w:spacing w:line="576" w:lineRule="exact"/>
        <w:ind w:firstLine="640" w:firstLineChars="200"/>
        <w:textAlignment w:val="auto"/>
        <w:rPr>
          <w:rStyle w:val="20"/>
          <w:rFonts w:hint="default" w:ascii="Times New Roman" w:hAnsi="Times New Roman" w:eastAsia="仿宋_GB2312" w:cs="Times New Roman"/>
          <w:b w:val="0"/>
          <w:bCs/>
          <w:sz w:val="32"/>
          <w:szCs w:val="32"/>
          <w:u w:val="none"/>
          <w:lang w:val="en-US" w:eastAsia="zh-CN"/>
        </w:rPr>
      </w:pPr>
      <w:r>
        <w:rPr>
          <w:rStyle w:val="20"/>
          <w:rFonts w:hint="default" w:ascii="Times New Roman" w:hAnsi="Times New Roman" w:eastAsia="仿宋_GB2312" w:cs="Times New Roman"/>
          <w:b w:val="0"/>
          <w:bCs/>
          <w:sz w:val="32"/>
          <w:szCs w:val="32"/>
          <w:u w:val="none"/>
          <w:lang w:val="en-US" w:eastAsia="zh-CN"/>
        </w:rPr>
        <w:t>附件3-3:2024年度纪委部门预算项目支出绩效自评表(专项项目类)</w:t>
      </w:r>
    </w:p>
    <w:p>
      <w:pPr>
        <w:pStyle w:val="8"/>
        <w:pageBreakBefore w:val="0"/>
        <w:kinsoku/>
        <w:wordWrap/>
        <w:overflowPunct/>
        <w:topLinePunct w:val="0"/>
        <w:bidi w:val="0"/>
        <w:spacing w:before="93" w:line="576" w:lineRule="exact"/>
        <w:textAlignment w:val="auto"/>
        <w:rPr>
          <w:rFonts w:hint="default" w:ascii="Times New Roman" w:hAnsi="Times New Roman" w:eastAsia="仿宋_GB2312" w:cs="Times New Roman"/>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pStyle w:val="8"/>
        <w:pageBreakBefore w:val="0"/>
        <w:kinsoku/>
        <w:wordWrap/>
        <w:overflowPunct/>
        <w:topLinePunct w:val="0"/>
        <w:bidi w:val="0"/>
        <w:spacing w:before="93" w:line="576" w:lineRule="exact"/>
        <w:textAlignment w:val="auto"/>
        <w:rPr>
          <w:rFonts w:hAnsi="Calibri" w:cs="仿宋"/>
          <w:sz w:val="32"/>
          <w:szCs w:val="32"/>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ageBreakBefore w:val="0"/>
        <w:kinsoku/>
        <w:wordWrap/>
        <w:overflowPunct/>
        <w:topLinePunct w:val="0"/>
        <w:bidi w:val="0"/>
        <w:spacing w:line="576" w:lineRule="exact"/>
        <w:jc w:val="center"/>
        <w:textAlignment w:val="auto"/>
        <w:outlineLvl w:val="0"/>
        <w:rPr>
          <w:rFonts w:hint="eastAsia" w:ascii="方正小标宋_GBK" w:hAnsi="方正小标宋_GBK" w:eastAsia="方正小标宋_GBK" w:cs="方正小标宋_GBK"/>
        </w:rPr>
      </w:pPr>
      <w:r>
        <w:rPr>
          <w:rFonts w:hint="eastAsia" w:ascii="方正小标宋_GBK" w:hAnsi="方正小标宋_GBK" w:eastAsia="方正小标宋_GBK" w:cs="方正小标宋_GBK"/>
          <w:sz w:val="44"/>
          <w:szCs w:val="44"/>
        </w:rPr>
        <w:t>第</w:t>
      </w:r>
      <w:r>
        <w:rPr>
          <w:rStyle w:val="34"/>
          <w:rFonts w:hint="eastAsia" w:ascii="方正小标宋_GBK" w:hAnsi="方正小标宋_GBK" w:eastAsia="方正小标宋_GBK" w:cs="方正小标宋_GBK"/>
          <w:b w:val="0"/>
        </w:rPr>
        <w:t>五部分 附表</w:t>
      </w:r>
      <w:bookmarkEnd w:id="50"/>
      <w:bookmarkEnd w:id="51"/>
      <w:bookmarkStart w:id="52" w:name="_Toc15396619"/>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val="0"/>
        </w:rPr>
        <w:t>一、收</w:t>
      </w:r>
      <w:r>
        <w:rPr>
          <w:rStyle w:val="35"/>
          <w:rFonts w:hint="default" w:ascii="Times New Roman" w:hAnsi="Times New Roman" w:eastAsia="仿宋_GB2312" w:cs="Times New Roman"/>
          <w:b w:val="0"/>
          <w:bCs w:val="0"/>
        </w:rPr>
        <w:t>入支出决算总表</w:t>
      </w:r>
      <w:bookmarkEnd w:id="52"/>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3" w:name="_Toc15396620"/>
      <w:r>
        <w:rPr>
          <w:rFonts w:hint="default" w:ascii="Times New Roman" w:hAnsi="Times New Roman" w:eastAsia="仿宋_GB2312" w:cs="Times New Roman"/>
          <w:b w:val="0"/>
        </w:rPr>
        <w:t>二、收</w:t>
      </w:r>
      <w:r>
        <w:rPr>
          <w:rStyle w:val="35"/>
          <w:rFonts w:hint="default" w:ascii="Times New Roman" w:hAnsi="Times New Roman" w:eastAsia="仿宋_GB2312" w:cs="Times New Roman"/>
          <w:b w:val="0"/>
          <w:bCs w:val="0"/>
        </w:rPr>
        <w:t>入决算表</w:t>
      </w:r>
      <w:bookmarkEnd w:id="53"/>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4" w:name="_Toc15396621"/>
      <w:r>
        <w:rPr>
          <w:rStyle w:val="35"/>
          <w:rFonts w:hint="default" w:ascii="Times New Roman" w:hAnsi="Times New Roman" w:eastAsia="仿宋_GB2312" w:cs="Times New Roman"/>
          <w:b w:val="0"/>
          <w:bCs w:val="0"/>
        </w:rPr>
        <w:t>三、</w:t>
      </w:r>
      <w:r>
        <w:rPr>
          <w:rFonts w:hint="default" w:ascii="Times New Roman" w:hAnsi="Times New Roman" w:eastAsia="仿宋_GB2312" w:cs="Times New Roman"/>
          <w:b w:val="0"/>
        </w:rPr>
        <w:t>支</w:t>
      </w:r>
      <w:r>
        <w:rPr>
          <w:rStyle w:val="35"/>
          <w:rFonts w:hint="default" w:ascii="Times New Roman" w:hAnsi="Times New Roman" w:eastAsia="仿宋_GB2312" w:cs="Times New Roman"/>
          <w:b w:val="0"/>
          <w:bCs w:val="0"/>
        </w:rPr>
        <w:t>出决算表</w:t>
      </w:r>
      <w:bookmarkEnd w:id="54"/>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b w:val="0"/>
        </w:rPr>
      </w:pPr>
      <w:bookmarkStart w:id="55" w:name="_Toc15396622"/>
      <w:r>
        <w:rPr>
          <w:rStyle w:val="35"/>
          <w:rFonts w:hint="default" w:ascii="Times New Roman" w:hAnsi="Times New Roman" w:eastAsia="仿宋_GB2312" w:cs="Times New Roman"/>
          <w:b w:val="0"/>
          <w:bCs w:val="0"/>
        </w:rPr>
        <w:t>四、</w:t>
      </w:r>
      <w:r>
        <w:rPr>
          <w:rFonts w:hint="default" w:ascii="Times New Roman" w:hAnsi="Times New Roman" w:eastAsia="仿宋_GB2312" w:cs="Times New Roman"/>
          <w:b w:val="0"/>
        </w:rPr>
        <w:t>财</w:t>
      </w:r>
      <w:r>
        <w:rPr>
          <w:rStyle w:val="35"/>
          <w:rFonts w:hint="default" w:ascii="Times New Roman" w:hAnsi="Times New Roman" w:eastAsia="仿宋_GB2312" w:cs="Times New Roman"/>
          <w:b w:val="0"/>
          <w:bCs w:val="0"/>
        </w:rPr>
        <w:t>政拨款收入支出决算总表</w:t>
      </w:r>
      <w:bookmarkEnd w:id="55"/>
    </w:p>
    <w:p>
      <w:pPr>
        <w:pStyle w:val="6"/>
        <w:pageBreakBefore w:val="0"/>
        <w:kinsoku/>
        <w:wordWrap/>
        <w:overflowPunct/>
        <w:topLinePunct w:val="0"/>
        <w:bidi w:val="0"/>
        <w:spacing w:line="576" w:lineRule="exact"/>
        <w:textAlignment w:val="auto"/>
        <w:rPr>
          <w:rStyle w:val="35"/>
          <w:rFonts w:hint="default" w:ascii="Times New Roman" w:hAnsi="Times New Roman" w:eastAsia="仿宋_GB2312" w:cs="Times New Roman"/>
          <w:b w:val="0"/>
          <w:bCs w:val="0"/>
        </w:rPr>
      </w:pPr>
      <w:bookmarkStart w:id="56" w:name="_Toc15396623"/>
      <w:r>
        <w:rPr>
          <w:rStyle w:val="35"/>
          <w:rFonts w:hint="default" w:ascii="Times New Roman" w:hAnsi="Times New Roman" w:eastAsia="仿宋_GB2312" w:cs="Times New Roman"/>
          <w:b w:val="0"/>
          <w:bCs w:val="0"/>
        </w:rPr>
        <w:t>五、</w:t>
      </w:r>
      <w:r>
        <w:rPr>
          <w:rFonts w:hint="default" w:ascii="Times New Roman" w:hAnsi="Times New Roman" w:eastAsia="仿宋_GB2312" w:cs="Times New Roman"/>
          <w:b w:val="0"/>
        </w:rPr>
        <w:t>财</w:t>
      </w:r>
      <w:r>
        <w:rPr>
          <w:rStyle w:val="35"/>
          <w:rFonts w:hint="default" w:ascii="Times New Roman" w:hAnsi="Times New Roman" w:eastAsia="仿宋_GB2312" w:cs="Times New Roman"/>
          <w:b w:val="0"/>
          <w:bCs w:val="0"/>
        </w:rPr>
        <w:t>政拨款支出决算明细表</w:t>
      </w:r>
      <w:bookmarkEnd w:id="56"/>
      <w:bookmarkStart w:id="57" w:name="_Toc15396624"/>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r>
        <w:rPr>
          <w:rStyle w:val="35"/>
          <w:rFonts w:hint="default" w:ascii="Times New Roman" w:hAnsi="Times New Roman" w:eastAsia="仿宋_GB2312" w:cs="Times New Roman"/>
          <w:b w:val="0"/>
          <w:bCs w:val="0"/>
        </w:rPr>
        <w:t>六、</w:t>
      </w:r>
      <w:r>
        <w:rPr>
          <w:rFonts w:hint="default" w:ascii="Times New Roman" w:hAnsi="Times New Roman" w:eastAsia="仿宋_GB2312" w:cs="Times New Roman"/>
          <w:b w:val="0"/>
        </w:rPr>
        <w:t>一</w:t>
      </w:r>
      <w:r>
        <w:rPr>
          <w:rStyle w:val="35"/>
          <w:rFonts w:hint="default" w:ascii="Times New Roman" w:hAnsi="Times New Roman" w:eastAsia="仿宋_GB2312" w:cs="Times New Roman"/>
          <w:b w:val="0"/>
          <w:bCs w:val="0"/>
        </w:rPr>
        <w:t>般公共预算财政拨款支出决算表</w:t>
      </w:r>
      <w:bookmarkEnd w:id="57"/>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8" w:name="_Toc15396625"/>
      <w:r>
        <w:rPr>
          <w:rStyle w:val="35"/>
          <w:rFonts w:hint="default" w:ascii="Times New Roman" w:hAnsi="Times New Roman" w:eastAsia="仿宋_GB2312" w:cs="Times New Roman"/>
          <w:b w:val="0"/>
          <w:bCs w:val="0"/>
        </w:rPr>
        <w:t>七、</w:t>
      </w:r>
      <w:r>
        <w:rPr>
          <w:rFonts w:hint="default" w:ascii="Times New Roman" w:hAnsi="Times New Roman" w:eastAsia="仿宋_GB2312" w:cs="Times New Roman"/>
          <w:b w:val="0"/>
        </w:rPr>
        <w:t>一</w:t>
      </w:r>
      <w:r>
        <w:rPr>
          <w:rStyle w:val="35"/>
          <w:rFonts w:hint="default" w:ascii="Times New Roman" w:hAnsi="Times New Roman" w:eastAsia="仿宋_GB2312" w:cs="Times New Roman"/>
          <w:b w:val="0"/>
          <w:bCs w:val="0"/>
        </w:rPr>
        <w:t>般公共预算财政拨款支出决算明细表</w:t>
      </w:r>
      <w:bookmarkEnd w:id="58"/>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59" w:name="_Toc15396626"/>
      <w:r>
        <w:rPr>
          <w:rStyle w:val="35"/>
          <w:rFonts w:hint="default" w:ascii="Times New Roman" w:hAnsi="Times New Roman" w:eastAsia="仿宋_GB2312" w:cs="Times New Roman"/>
          <w:b w:val="0"/>
          <w:bCs w:val="0"/>
        </w:rPr>
        <w:t>八、</w:t>
      </w:r>
      <w:r>
        <w:rPr>
          <w:rFonts w:hint="default" w:ascii="Times New Roman" w:hAnsi="Times New Roman" w:eastAsia="仿宋_GB2312" w:cs="Times New Roman"/>
          <w:b w:val="0"/>
        </w:rPr>
        <w:t>一</w:t>
      </w:r>
      <w:r>
        <w:rPr>
          <w:rStyle w:val="35"/>
          <w:rFonts w:hint="default" w:ascii="Times New Roman" w:hAnsi="Times New Roman" w:eastAsia="仿宋_GB2312" w:cs="Times New Roman"/>
          <w:b w:val="0"/>
          <w:bCs w:val="0"/>
        </w:rPr>
        <w:t>般公共预算财政拨款基本支出决算表</w:t>
      </w:r>
      <w:bookmarkEnd w:id="59"/>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0" w:name="_Toc15396627"/>
      <w:r>
        <w:rPr>
          <w:rStyle w:val="35"/>
          <w:rFonts w:hint="default" w:ascii="Times New Roman" w:hAnsi="Times New Roman" w:eastAsia="仿宋_GB2312" w:cs="Times New Roman"/>
          <w:b w:val="0"/>
          <w:bCs w:val="0"/>
        </w:rPr>
        <w:t>九、</w:t>
      </w:r>
      <w:r>
        <w:rPr>
          <w:rFonts w:hint="default" w:ascii="Times New Roman" w:hAnsi="Times New Roman" w:eastAsia="仿宋_GB2312" w:cs="Times New Roman"/>
          <w:b w:val="0"/>
        </w:rPr>
        <w:t>一</w:t>
      </w:r>
      <w:r>
        <w:rPr>
          <w:rStyle w:val="35"/>
          <w:rFonts w:hint="default" w:ascii="Times New Roman" w:hAnsi="Times New Roman" w:eastAsia="仿宋_GB2312" w:cs="Times New Roman"/>
          <w:b w:val="0"/>
          <w:bCs w:val="0"/>
        </w:rPr>
        <w:t>般公共预算财政拨款项目支出决算表</w:t>
      </w:r>
      <w:bookmarkEnd w:id="60"/>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1" w:name="_Toc15396628"/>
      <w:r>
        <w:rPr>
          <w:rStyle w:val="35"/>
          <w:rFonts w:hint="default" w:ascii="Times New Roman" w:hAnsi="Times New Roman" w:eastAsia="仿宋_GB2312" w:cs="Times New Roman"/>
          <w:b w:val="0"/>
          <w:bCs w:val="0"/>
        </w:rPr>
        <w:t>十、</w:t>
      </w:r>
      <w:bookmarkEnd w:id="61"/>
      <w:r>
        <w:rPr>
          <w:rFonts w:hint="default" w:ascii="Times New Roman" w:hAnsi="Times New Roman" w:eastAsia="仿宋_GB2312" w:cs="Times New Roman"/>
          <w:b w:val="0"/>
        </w:rPr>
        <w:t>政</w:t>
      </w:r>
      <w:r>
        <w:rPr>
          <w:rStyle w:val="35"/>
          <w:rFonts w:hint="default" w:ascii="Times New Roman" w:hAnsi="Times New Roman" w:eastAsia="仿宋_GB2312" w:cs="Times New Roman"/>
          <w:b w:val="0"/>
          <w:bCs w:val="0"/>
        </w:rPr>
        <w:t>府性基金预算财政拨款收入支出决算表</w:t>
      </w:r>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2" w:name="_Toc15396629"/>
      <w:r>
        <w:rPr>
          <w:rStyle w:val="35"/>
          <w:rFonts w:hint="default" w:ascii="Times New Roman" w:hAnsi="Times New Roman" w:eastAsia="仿宋_GB2312" w:cs="Times New Roman"/>
          <w:b w:val="0"/>
          <w:bCs w:val="0"/>
        </w:rPr>
        <w:t>十一、</w:t>
      </w:r>
      <w:bookmarkEnd w:id="62"/>
      <w:r>
        <w:rPr>
          <w:rFonts w:hint="default" w:ascii="Times New Roman" w:hAnsi="Times New Roman" w:eastAsia="仿宋_GB2312" w:cs="Times New Roman"/>
          <w:b w:val="0"/>
        </w:rPr>
        <w:t>国</w:t>
      </w:r>
      <w:r>
        <w:rPr>
          <w:rStyle w:val="35"/>
          <w:rFonts w:hint="default" w:ascii="Times New Roman" w:hAnsi="Times New Roman" w:eastAsia="仿宋_GB2312" w:cs="Times New Roman"/>
          <w:b w:val="0"/>
          <w:bCs w:val="0"/>
        </w:rPr>
        <w:t>有资本经营预算财政拨款收入支出决算表</w:t>
      </w:r>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3" w:name="_Toc15396630"/>
      <w:r>
        <w:rPr>
          <w:rStyle w:val="35"/>
          <w:rFonts w:hint="default" w:ascii="Times New Roman" w:hAnsi="Times New Roman" w:eastAsia="仿宋_GB2312" w:cs="Times New Roman"/>
          <w:b w:val="0"/>
          <w:bCs w:val="0"/>
        </w:rPr>
        <w:t>十二、</w:t>
      </w:r>
      <w:bookmarkEnd w:id="63"/>
      <w:r>
        <w:rPr>
          <w:rStyle w:val="35"/>
          <w:rFonts w:hint="default" w:ascii="Times New Roman" w:hAnsi="Times New Roman" w:eastAsia="仿宋_GB2312" w:cs="Times New Roman"/>
          <w:b w:val="0"/>
          <w:bCs w:val="0"/>
        </w:rPr>
        <w:t>国有资本经营预算财政拨款支出决算表</w:t>
      </w:r>
    </w:p>
    <w:p>
      <w:pPr>
        <w:pStyle w:val="6"/>
        <w:pageBreakBefore w:val="0"/>
        <w:kinsoku/>
        <w:wordWrap/>
        <w:overflowPunct/>
        <w:topLinePunct w:val="0"/>
        <w:bidi w:val="0"/>
        <w:spacing w:line="576" w:lineRule="exact"/>
        <w:textAlignment w:val="auto"/>
        <w:rPr>
          <w:rFonts w:hint="default" w:ascii="Times New Roman" w:hAnsi="Times New Roman" w:eastAsia="仿宋_GB2312" w:cs="Times New Roman"/>
        </w:rPr>
      </w:pPr>
      <w:bookmarkStart w:id="64" w:name="_Toc15396631"/>
      <w:r>
        <w:rPr>
          <w:rStyle w:val="35"/>
          <w:rFonts w:hint="default" w:ascii="Times New Roman" w:hAnsi="Times New Roman" w:eastAsia="仿宋_GB2312" w:cs="Times New Roman"/>
          <w:b w:val="0"/>
          <w:bCs w:val="0"/>
        </w:rPr>
        <w:t>十三、</w:t>
      </w:r>
      <w:bookmarkEnd w:id="64"/>
      <w:r>
        <w:rPr>
          <w:rStyle w:val="35"/>
          <w:rFonts w:hint="default" w:ascii="Times New Roman" w:hAnsi="Times New Roman" w:eastAsia="仿宋_GB2312" w:cs="Times New Roman"/>
          <w:b w:val="0"/>
          <w:bCs w:val="0"/>
        </w:rPr>
        <w:t>财政拨款“三公”经费支出决算表</w:t>
      </w:r>
    </w:p>
    <w:sectPr>
      <w:headerReference r:id="rId3" w:type="default"/>
      <w:footerReference r:id="rId4" w:type="default"/>
      <w:pgSz w:w="11906" w:h="16838"/>
      <w:pgMar w:top="2098" w:right="1531" w:bottom="1984"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15</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F2F7B8A"/>
    <w:multiLevelType w:val="singleLevel"/>
    <w:tmpl w:val="EF2F7B8A"/>
    <w:lvl w:ilvl="0" w:tentative="0">
      <w:start w:val="1"/>
      <w:numFmt w:val="decimal"/>
      <w:pStyle w:val="4"/>
      <w:lvlText w:val="%1."/>
      <w:lvlJc w:val="left"/>
      <w:pPr>
        <w:tabs>
          <w:tab w:val="left" w:pos="2040"/>
        </w:tabs>
        <w:ind w:left="2040" w:hanging="360"/>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6654"/>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6131E"/>
    <w:rsid w:val="03DC2831"/>
    <w:rsid w:val="04B261E8"/>
    <w:rsid w:val="081B5E94"/>
    <w:rsid w:val="09C1566B"/>
    <w:rsid w:val="0A2032A3"/>
    <w:rsid w:val="0B4B2CA5"/>
    <w:rsid w:val="0B8A37D8"/>
    <w:rsid w:val="0F5FFB2F"/>
    <w:rsid w:val="0FFFCF60"/>
    <w:rsid w:val="10C055FF"/>
    <w:rsid w:val="118107EC"/>
    <w:rsid w:val="11DD6519"/>
    <w:rsid w:val="145B429D"/>
    <w:rsid w:val="16BB723D"/>
    <w:rsid w:val="18015F3F"/>
    <w:rsid w:val="19F46845"/>
    <w:rsid w:val="1BE8440E"/>
    <w:rsid w:val="1CAD482F"/>
    <w:rsid w:val="1D155CEE"/>
    <w:rsid w:val="1EFB7332"/>
    <w:rsid w:val="1F5E1F86"/>
    <w:rsid w:val="1FDBBF84"/>
    <w:rsid w:val="201D2C91"/>
    <w:rsid w:val="20831EF2"/>
    <w:rsid w:val="20F57F95"/>
    <w:rsid w:val="240371BF"/>
    <w:rsid w:val="25711CC6"/>
    <w:rsid w:val="25C741E6"/>
    <w:rsid w:val="276F80C0"/>
    <w:rsid w:val="27842671"/>
    <w:rsid w:val="29FD04D3"/>
    <w:rsid w:val="2ABE7A3E"/>
    <w:rsid w:val="2AFF09B6"/>
    <w:rsid w:val="2CA234A8"/>
    <w:rsid w:val="2EFA178C"/>
    <w:rsid w:val="2EFDF86C"/>
    <w:rsid w:val="2F9D17E1"/>
    <w:rsid w:val="303801E5"/>
    <w:rsid w:val="30B46D73"/>
    <w:rsid w:val="319F7F4E"/>
    <w:rsid w:val="356A28F1"/>
    <w:rsid w:val="357C035A"/>
    <w:rsid w:val="35F956AC"/>
    <w:rsid w:val="368E000D"/>
    <w:rsid w:val="36A06355"/>
    <w:rsid w:val="36DFF413"/>
    <w:rsid w:val="3783144D"/>
    <w:rsid w:val="383D272C"/>
    <w:rsid w:val="39AE70AB"/>
    <w:rsid w:val="3A4DCE41"/>
    <w:rsid w:val="3BCB56FA"/>
    <w:rsid w:val="3C0C0783"/>
    <w:rsid w:val="3EE7C2F4"/>
    <w:rsid w:val="3F371B56"/>
    <w:rsid w:val="3F792ED8"/>
    <w:rsid w:val="3F9F3A96"/>
    <w:rsid w:val="3FECA4B2"/>
    <w:rsid w:val="3FF58C48"/>
    <w:rsid w:val="42FF6694"/>
    <w:rsid w:val="44F77785"/>
    <w:rsid w:val="466547DE"/>
    <w:rsid w:val="48BF60AB"/>
    <w:rsid w:val="493C27E9"/>
    <w:rsid w:val="496F39ED"/>
    <w:rsid w:val="4992236E"/>
    <w:rsid w:val="49E10253"/>
    <w:rsid w:val="49FF41D3"/>
    <w:rsid w:val="4BE068DB"/>
    <w:rsid w:val="4BF6002B"/>
    <w:rsid w:val="4BFFC6BE"/>
    <w:rsid w:val="4ECE2238"/>
    <w:rsid w:val="51DB4B86"/>
    <w:rsid w:val="51F64DB0"/>
    <w:rsid w:val="536973C4"/>
    <w:rsid w:val="55333C3E"/>
    <w:rsid w:val="555060BD"/>
    <w:rsid w:val="56825CAE"/>
    <w:rsid w:val="599A4111"/>
    <w:rsid w:val="5A5F1833"/>
    <w:rsid w:val="5F67802D"/>
    <w:rsid w:val="5F7DC4F2"/>
    <w:rsid w:val="5FB36814"/>
    <w:rsid w:val="5FBB8E56"/>
    <w:rsid w:val="5FFB5535"/>
    <w:rsid w:val="5FFBDDA5"/>
    <w:rsid w:val="608A75D1"/>
    <w:rsid w:val="64CA39A1"/>
    <w:rsid w:val="69630ADE"/>
    <w:rsid w:val="69BD5F13"/>
    <w:rsid w:val="69FB0B4B"/>
    <w:rsid w:val="6BBC3E10"/>
    <w:rsid w:val="6BFFE1FB"/>
    <w:rsid w:val="6C4A05C8"/>
    <w:rsid w:val="6D3B1A89"/>
    <w:rsid w:val="6DB7D8A3"/>
    <w:rsid w:val="6E536627"/>
    <w:rsid w:val="6EC78701"/>
    <w:rsid w:val="6F7A5481"/>
    <w:rsid w:val="6FFE07A9"/>
    <w:rsid w:val="716E3246"/>
    <w:rsid w:val="71BF4EC2"/>
    <w:rsid w:val="72734D90"/>
    <w:rsid w:val="72EB2B1E"/>
    <w:rsid w:val="73E75B71"/>
    <w:rsid w:val="7412278C"/>
    <w:rsid w:val="75517B62"/>
    <w:rsid w:val="75DDCDA9"/>
    <w:rsid w:val="75FF44B1"/>
    <w:rsid w:val="76F06E0E"/>
    <w:rsid w:val="77670518"/>
    <w:rsid w:val="777FA627"/>
    <w:rsid w:val="77DF1B5F"/>
    <w:rsid w:val="77EF2D9D"/>
    <w:rsid w:val="77FEE33A"/>
    <w:rsid w:val="79E7B28D"/>
    <w:rsid w:val="7ACFF0C2"/>
    <w:rsid w:val="7AFB9108"/>
    <w:rsid w:val="7BD5340C"/>
    <w:rsid w:val="7BF701A6"/>
    <w:rsid w:val="7BFB19D2"/>
    <w:rsid w:val="7BFD1750"/>
    <w:rsid w:val="7BFDAA1B"/>
    <w:rsid w:val="7CDF9A82"/>
    <w:rsid w:val="7CFFA1BD"/>
    <w:rsid w:val="7D2E3F7A"/>
    <w:rsid w:val="7DED9490"/>
    <w:rsid w:val="7DFF4872"/>
    <w:rsid w:val="7E7487E6"/>
    <w:rsid w:val="7E7C2A54"/>
    <w:rsid w:val="7EC35188"/>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EF2B9E"/>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3"/>
    <w:next w:val="1"/>
    <w:qFormat/>
    <w:uiPriority w:val="0"/>
    <w:pPr>
      <w:widowControl/>
    </w:pPr>
    <w:rPr>
      <w:szCs w:val="20"/>
    </w:rPr>
  </w:style>
  <w:style w:type="paragraph" w:styleId="3">
    <w:name w:val="Plain Text"/>
    <w:basedOn w:val="1"/>
    <w:next w:val="4"/>
    <w:qFormat/>
    <w:uiPriority w:val="0"/>
    <w:rPr>
      <w:rFonts w:ascii="宋体" w:hAnsi="Courier New" w:eastAsia="宋体" w:cs="Courier New"/>
      <w:color w:val="auto"/>
      <w:sz w:val="21"/>
      <w:szCs w:val="21"/>
    </w:rPr>
  </w:style>
  <w:style w:type="paragraph" w:styleId="4">
    <w:name w:val="List Number 5"/>
    <w:basedOn w:val="1"/>
    <w:semiHidden/>
    <w:unhideWhenUsed/>
    <w:qFormat/>
    <w:uiPriority w:val="99"/>
    <w:pPr>
      <w:numPr>
        <w:ilvl w:val="0"/>
        <w:numId w:val="1"/>
      </w:numPr>
    </w:pPr>
  </w:style>
  <w:style w:type="paragraph" w:styleId="8">
    <w:name w:val="Body Text"/>
    <w:basedOn w:val="1"/>
    <w:link w:val="31"/>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7"/>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正文1"/>
    <w:next w:val="2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正文首行缩进 21"/>
    <w:basedOn w:val="24"/>
    <w:qFormat/>
    <w:uiPriority w:val="0"/>
    <w:pPr>
      <w:ind w:firstLine="420"/>
    </w:pPr>
  </w:style>
  <w:style w:type="paragraph" w:customStyle="1" w:styleId="24">
    <w:name w:val="正文缩进1"/>
    <w:basedOn w:val="22"/>
    <w:qFormat/>
    <w:uiPriority w:val="0"/>
    <w:pPr>
      <w:ind w:left="420"/>
    </w:p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字符"/>
    <w:link w:val="14"/>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字符"/>
    <w:link w:val="13"/>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字符"/>
    <w:link w:val="8"/>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字符"/>
    <w:basedOn w:val="19"/>
    <w:link w:val="5"/>
    <w:qFormat/>
    <w:uiPriority w:val="9"/>
    <w:rPr>
      <w:rFonts w:ascii="Times New Roman" w:hAnsi="Times New Roman"/>
      <w:b/>
      <w:bCs/>
      <w:kern w:val="44"/>
      <w:sz w:val="44"/>
      <w:szCs w:val="44"/>
    </w:rPr>
  </w:style>
  <w:style w:type="character" w:customStyle="1" w:styleId="35">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字符"/>
    <w:basedOn w:val="19"/>
    <w:link w:val="12"/>
    <w:semiHidden/>
    <w:qFormat/>
    <w:uiPriority w:val="99"/>
    <w:rPr>
      <w:rFonts w:ascii="Times New Roman" w:hAnsi="Times New Roman"/>
      <w:kern w:val="2"/>
      <w:sz w:val="18"/>
      <w:szCs w:val="18"/>
    </w:rPr>
  </w:style>
  <w:style w:type="character" w:customStyle="1" w:styleId="38">
    <w:name w:val="标题 3 字符"/>
    <w:basedOn w:val="19"/>
    <w:link w:val="7"/>
    <w:qFormat/>
    <w:uiPriority w:val="9"/>
    <w:rPr>
      <w:rFonts w:ascii="Times New Roman" w:hAnsi="Times New Roman"/>
      <w:b/>
      <w:bCs/>
      <w:kern w:val="2"/>
      <w:sz w:val="32"/>
      <w:szCs w:val="32"/>
    </w:rPr>
  </w:style>
  <w:style w:type="paragraph" w:customStyle="1" w:styleId="39">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3453;&#20852;&#21439;&#32426;&#24459;&#26816;&#26597;&#22996;&#21592;&#20250;&#36164;&#26009;\&#23453;&#20852;&#21439;&#32426;&#22996;2025&#24180;&#36130;&#21153;&#36164;&#26009;\2024&#24180;&#20915;&#31639;\2024&#24180;&#20915;&#31639;&#32472;&#22270;&#29992;&#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rPr lang="en-US" altLang="zh-CN"/>
              <a:t>2024</a:t>
            </a:r>
            <a:r>
              <a:rPr altLang="en-US"/>
              <a:t>年收入支出决算数                        </a:t>
            </a:r>
            <a:r>
              <a:rPr altLang="en-US" sz="1000"/>
              <a:t>单位：万元</a:t>
            </a:r>
            <a:endParaRPr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006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12152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[2024年决算绘图用表.xlsx]Sheet2!$A$1:$B$1</c:f>
              <c:strCache>
                <c:ptCount val="2"/>
                <c:pt idx="0">
                  <c:v>2023年收入、支出决算数</c:v>
                </c:pt>
                <c:pt idx="1">
                  <c:v>2024年收入、支出决算数</c:v>
                </c:pt>
              </c:strCache>
            </c:strRef>
          </c:cat>
          <c:val>
            <c:numRef>
              <c:f>[2024年决算绘图用表.xlsx]Sheet2!$A$2:$B$2</c:f>
              <c:numCache>
                <c:formatCode>General</c:formatCode>
                <c:ptCount val="2"/>
                <c:pt idx="0">
                  <c:v>1778.12</c:v>
                </c:pt>
                <c:pt idx="1">
                  <c:v>1712.65</c:v>
                </c:pt>
              </c:numCache>
            </c:numRef>
          </c:val>
        </c:ser>
        <c:dLbls>
          <c:showLegendKey val="0"/>
          <c:showVal val="1"/>
          <c:showCatName val="0"/>
          <c:showSerName val="0"/>
          <c:showPercent val="0"/>
          <c:showBubbleSize val="0"/>
        </c:dLbls>
        <c:gapWidth val="75"/>
        <c:overlap val="40"/>
        <c:axId val="572238647"/>
        <c:axId val="939419019"/>
      </c:barChart>
      <c:catAx>
        <c:axId val="5722386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419019"/>
        <c:crosses val="autoZero"/>
        <c:auto val="1"/>
        <c:lblAlgn val="ctr"/>
        <c:lblOffset val="100"/>
        <c:noMultiLvlLbl val="0"/>
      </c:catAx>
      <c:valAx>
        <c:axId val="93941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38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a:t>
            </a:r>
            <a:r>
              <a:t>一般公共预算财政拨款收入  </a:t>
            </a:r>
            <a:r>
              <a:rPr sz="900"/>
              <a:t>单位：万元</a:t>
            </a:r>
            <a:endParaRPr sz="900"/>
          </a:p>
        </c:rich>
      </c:tx>
      <c:layout/>
      <c:overlay val="0"/>
      <c:spPr>
        <a:noFill/>
        <a:ln>
          <a:noFill/>
        </a:ln>
        <a:effectLst/>
      </c:spPr>
    </c:title>
    <c:autoTitleDeleted val="0"/>
    <c:plotArea>
      <c:layout/>
      <c:pieChart>
        <c:varyColors val="1"/>
        <c:ser>
          <c:idx val="0"/>
          <c:order val="0"/>
          <c:tx>
            <c:strRef>
              <c:f>[工作簿1]Sheet2!$A$1</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1712.65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[工作簿1]Sheet2!$B$1</c:f>
              <c:numCache>
                <c:formatCode>General</c:formatCode>
                <c:ptCount val="1"/>
                <c:pt idx="0">
                  <c:v>1778.12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年度支出    </a:t>
            </a:r>
            <a:r>
              <a:rPr altLang="en-US" sz="900"/>
              <a:t> 单位：万元</a:t>
            </a:r>
            <a:endParaRPr altLang="en-US" sz="9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1463.87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248.78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[工作簿1]Sheet3!$A$1:$A$2</c:f>
              <c:strCache>
                <c:ptCount val="2"/>
                <c:pt idx="0">
                  <c:v>基本支出</c:v>
                </c:pt>
                <c:pt idx="1">
                  <c:v>项目支出</c:v>
                </c:pt>
              </c:strCache>
            </c:strRef>
          </c:cat>
          <c:val>
            <c:numRef>
              <c:f>[工作簿1]Sheet3!$B$1:$B$2</c:f>
              <c:numCache>
                <c:formatCode>General</c:formatCode>
                <c:ptCount val="2"/>
                <c:pt idx="0">
                  <c:v>1538.52</c:v>
                </c:pt>
                <c:pt idx="1">
                  <c:v>239.6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rPr lang="en-US" altLang="zh-CN"/>
              <a:t>2024</a:t>
            </a:r>
            <a:r>
              <a:rPr altLang="en-US"/>
              <a:t>年收入支出决算数                      </a:t>
            </a:r>
            <a:r>
              <a:rPr altLang="en-US" sz="1000"/>
              <a:t>单位：万元</a:t>
            </a:r>
            <a:endParaRPr altLang="en-US" sz="1000"/>
          </a:p>
        </c:rich>
      </c:tx>
      <c:layout>
        <c:manualLayout>
          <c:xMode val="edge"/>
          <c:yMode val="edge"/>
          <c:x val="0.11146575006138"/>
          <c:y val="0.022288261515601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006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12152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[2024年决算绘图用表.xlsx]Sheet2!$A$1:$B$1</c:f>
              <c:strCache>
                <c:ptCount val="2"/>
                <c:pt idx="0">
                  <c:v>2023年收入、支出决算数</c:v>
                </c:pt>
                <c:pt idx="1">
                  <c:v>2024年收入、支出决算数</c:v>
                </c:pt>
              </c:strCache>
            </c:strRef>
          </c:cat>
          <c:val>
            <c:numRef>
              <c:f>[2024年决算绘图用表.xlsx]Sheet2!$A$2:$B$2</c:f>
              <c:numCache>
                <c:formatCode>General</c:formatCode>
                <c:ptCount val="2"/>
                <c:pt idx="0">
                  <c:v>1778.12</c:v>
                </c:pt>
                <c:pt idx="1">
                  <c:v>1712.65</c:v>
                </c:pt>
              </c:numCache>
            </c:numRef>
          </c:val>
        </c:ser>
        <c:dLbls>
          <c:showLegendKey val="0"/>
          <c:showVal val="1"/>
          <c:showCatName val="0"/>
          <c:showSerName val="0"/>
          <c:showPercent val="0"/>
          <c:showBubbleSize val="0"/>
        </c:dLbls>
        <c:gapWidth val="75"/>
        <c:overlap val="40"/>
        <c:axId val="572238647"/>
        <c:axId val="939419019"/>
      </c:barChart>
      <c:catAx>
        <c:axId val="5722386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419019"/>
        <c:crosses val="autoZero"/>
        <c:auto val="1"/>
        <c:lblAlgn val="ctr"/>
        <c:lblOffset val="100"/>
        <c:noMultiLvlLbl val="0"/>
      </c:catAx>
      <c:valAx>
        <c:axId val="93941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38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a:t>
            </a:r>
            <a:r>
              <a:rPr lang="en-US" altLang="zh-CN"/>
              <a:t>2024</a:t>
            </a:r>
            <a:r>
              <a:rPr altLang="en-US"/>
              <a:t>年收入支出决算数                        </a:t>
            </a:r>
            <a:r>
              <a:rPr altLang="en-US" sz="1000"/>
              <a:t>单位：万元</a:t>
            </a:r>
            <a:endParaRPr altLang="en-US" sz="10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00625"/>
                  <c:y val="-0.100694444444444"/>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8333333333333"/>
                  <c:y val="-0.12152777777777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[2024年决算绘图用表.xlsx]Sheet2!$A$1:$B$1</c:f>
              <c:strCache>
                <c:ptCount val="2"/>
                <c:pt idx="0">
                  <c:v>2023年收入、支出决算数</c:v>
                </c:pt>
                <c:pt idx="1">
                  <c:v>2024年收入、支出决算数</c:v>
                </c:pt>
              </c:strCache>
            </c:strRef>
          </c:cat>
          <c:val>
            <c:numRef>
              <c:f>[2024年决算绘图用表.xlsx]Sheet2!$A$2:$B$2</c:f>
              <c:numCache>
                <c:formatCode>General</c:formatCode>
                <c:ptCount val="2"/>
                <c:pt idx="0">
                  <c:v>1778.12</c:v>
                </c:pt>
                <c:pt idx="1">
                  <c:v>1712.65</c:v>
                </c:pt>
              </c:numCache>
            </c:numRef>
          </c:val>
        </c:ser>
        <c:dLbls>
          <c:showLegendKey val="0"/>
          <c:showVal val="1"/>
          <c:showCatName val="0"/>
          <c:showSerName val="0"/>
          <c:showPercent val="0"/>
          <c:showBubbleSize val="0"/>
        </c:dLbls>
        <c:gapWidth val="75"/>
        <c:overlap val="40"/>
        <c:axId val="572238647"/>
        <c:axId val="939419019"/>
      </c:barChart>
      <c:catAx>
        <c:axId val="5722386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9419019"/>
        <c:crosses val="autoZero"/>
        <c:auto val="1"/>
        <c:lblAlgn val="ctr"/>
        <c:lblOffset val="100"/>
        <c:noMultiLvlLbl val="0"/>
      </c:catAx>
      <c:valAx>
        <c:axId val="93941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38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a:t>
            </a:r>
            <a:r>
              <a:t>一般公共预算财政拨款支出决算</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[2024年决算绘图用表.xlsx]Sheet4!$A$1:$A$5</c:f>
              <c:strCache>
                <c:ptCount val="5"/>
                <c:pt idx="0">
                  <c:v>一般公共服务支出</c:v>
                </c:pt>
                <c:pt idx="1">
                  <c:v>社会保障和就业支出</c:v>
                </c:pt>
                <c:pt idx="2">
                  <c:v>卫生健康支出</c:v>
                </c:pt>
                <c:pt idx="3">
                  <c:v>农林水支出</c:v>
                </c:pt>
                <c:pt idx="4">
                  <c:v>住房保障支出</c:v>
                </c:pt>
              </c:strCache>
            </c:strRef>
          </c:cat>
          <c:val>
            <c:numRef>
              <c:f>[2024年决算绘图用表.xlsx]Sheet4!$B$1:$B$5</c:f>
              <c:numCache>
                <c:formatCode>General</c:formatCode>
                <c:ptCount val="5"/>
                <c:pt idx="0">
                  <c:v>1277.1</c:v>
                </c:pt>
                <c:pt idx="1">
                  <c:v>266.27</c:v>
                </c:pt>
                <c:pt idx="2">
                  <c:v>71.74</c:v>
                </c:pt>
                <c:pt idx="3">
                  <c:v>1.01</c:v>
                </c:pt>
                <c:pt idx="4">
                  <c:v>96.54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年度“三公经费</a:t>
            </a:r>
            <a:r>
              <a:rPr lang="en-US" altLang="zh-CN"/>
              <a:t>”</a:t>
            </a:r>
            <a:r>
              <a:rPr altLang="en-US"/>
              <a:t>支出</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[2024年决算绘图用表.xlsx]Sheet6!$A$1:$A$3</c:f>
              <c:strCache>
                <c:ptCount val="3"/>
                <c:pt idx="0">
                  <c:v>公务用车购置及运行维护费</c:v>
                </c:pt>
                <c:pt idx="1">
                  <c:v>公务接待费</c:v>
                </c:pt>
                <c:pt idx="2">
                  <c:v>因公出国（境）费</c:v>
                </c:pt>
              </c:strCache>
            </c:strRef>
          </c:cat>
          <c:val>
            <c:numRef>
              <c:f>[2024年决算绘图用表.xlsx]Sheet6!$B$1:$B$3</c:f>
              <c:numCache>
                <c:formatCode>General</c:formatCode>
                <c:ptCount val="3"/>
                <c:pt idx="0">
                  <c:v>329900</c:v>
                </c:pt>
                <c:pt idx="1" c:formatCode="#,##0.00">
                  <c:v>10390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0</TotalTime>
  <ScaleCrop>false</ScaleCrop>
  <LinksUpToDate>false</LinksUpToDate>
  <CharactersWithSpaces>7641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Administrator</cp:lastModifiedBy>
  <cp:lastPrinted>2025-09-02T09:27:00Z</cp:lastPrinted>
  <dcterms:modified xsi:type="dcterms:W3CDTF">2025-09-03T07:46:38Z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