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8441"/>
      <w:bookmarkStart w:id="2" w:name="_Toc15396475"/>
      <w:bookmarkStart w:id="3" w:name="_Toc15377193"/>
      <w:bookmarkStart w:id="4" w:name="_Toc15396597"/>
      <w:bookmarkStart w:id="5" w:name="_Toc15306267"/>
    </w:p>
    <w:p>
      <w:pPr>
        <w:pStyle w:val="9"/>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96598"/>
      <w:bookmarkStart w:id="10" w:name="_Toc15306268"/>
      <w:bookmarkStart w:id="11" w:name="_Toc15377194"/>
      <w:r>
        <w:rPr>
          <w:rFonts w:hint="eastAsia" w:ascii="方正小标宋简体" w:hAnsi="方正小标宋简体" w:eastAsia="方正小标宋简体" w:cs="方正小标宋简体"/>
          <w:sz w:val="72"/>
          <w:szCs w:val="72"/>
          <w:lang w:eastAsia="zh-CN"/>
        </w:rPr>
        <w:t>中国共产党四川省雅安市宝兴县纪律检查委员会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5"/>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w:t>
      </w:r>
    </w:p>
    <w:p/>
    <w:p>
      <w:pPr>
        <w:pStyle w:val="15"/>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6"/>
        <w:adjustRightInd w:val="0"/>
        <w:snapToGrid w:val="0"/>
        <w:spacing w:line="440" w:lineRule="exact"/>
        <w:jc w:val="left"/>
        <w:rPr>
          <w:rFonts w:ascii="仿宋" w:hAnsi="仿宋" w:eastAsia="仿宋"/>
          <w:sz w:val="24"/>
        </w:rPr>
      </w:pPr>
      <w:r>
        <w:rPr>
          <w:rFonts w:hint="eastAsia"/>
          <w:sz w:val="24"/>
        </w:rPr>
        <w:t>一、部门职责</w:t>
      </w:r>
    </w:p>
    <w:p>
      <w:pPr>
        <w:pStyle w:val="16"/>
        <w:adjustRightInd w:val="0"/>
        <w:snapToGrid w:val="0"/>
        <w:spacing w:line="440" w:lineRule="exact"/>
        <w:jc w:val="left"/>
        <w:rPr>
          <w:rFonts w:ascii="仿宋" w:hAnsi="仿宋" w:eastAsia="仿宋" w:cstheme="minorBidi"/>
          <w:sz w:val="24"/>
        </w:rPr>
      </w:pPr>
      <w:r>
        <w:rPr>
          <w:rFonts w:hint="eastAsia"/>
          <w:sz w:val="24"/>
        </w:rPr>
        <w:t>二、机构设置</w:t>
      </w:r>
    </w:p>
    <w:p>
      <w:pPr>
        <w:pStyle w:val="15"/>
        <w:adjustRightInd w:val="0"/>
        <w:snapToGrid w:val="0"/>
        <w:spacing w:before="0" w:line="440" w:lineRule="exact"/>
        <w:jc w:val="left"/>
        <w:rPr>
          <w:sz w:val="24"/>
          <w:szCs w:val="24"/>
        </w:rPr>
      </w:pPr>
      <w:r>
        <w:rPr>
          <w:rFonts w:hint="eastAsia"/>
          <w:sz w:val="24"/>
        </w:rPr>
        <w:t>第二部分 2023年度部门决算情况说明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6"/>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6"/>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6"/>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6"/>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3"/>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5"/>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5"/>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5"/>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6"/>
        <w:adjustRightInd w:val="0"/>
        <w:snapToGrid w:val="0"/>
        <w:spacing w:line="440" w:lineRule="exact"/>
        <w:jc w:val="left"/>
        <w:rPr>
          <w:sz w:val="24"/>
        </w:rPr>
      </w:pPr>
      <w:r>
        <w:rPr>
          <w:rFonts w:hint="eastAsia"/>
          <w:sz w:val="24"/>
        </w:rPr>
        <w:t>一、收入支出决算总表</w:t>
      </w:r>
    </w:p>
    <w:p>
      <w:pPr>
        <w:pStyle w:val="16"/>
        <w:adjustRightInd w:val="0"/>
        <w:snapToGrid w:val="0"/>
        <w:spacing w:line="440" w:lineRule="exact"/>
        <w:jc w:val="left"/>
        <w:rPr>
          <w:sz w:val="24"/>
        </w:rPr>
      </w:pPr>
      <w:r>
        <w:rPr>
          <w:rFonts w:hint="eastAsia"/>
          <w:sz w:val="24"/>
        </w:rPr>
        <w:t>二、收入决算表</w:t>
      </w:r>
    </w:p>
    <w:p>
      <w:pPr>
        <w:pStyle w:val="16"/>
        <w:adjustRightInd w:val="0"/>
        <w:snapToGrid w:val="0"/>
        <w:spacing w:line="440" w:lineRule="exact"/>
        <w:jc w:val="left"/>
        <w:rPr>
          <w:sz w:val="24"/>
        </w:rPr>
      </w:pPr>
      <w:r>
        <w:rPr>
          <w:rFonts w:hint="eastAsia"/>
          <w:sz w:val="24"/>
        </w:rPr>
        <w:t>三、支出决算表</w:t>
      </w:r>
    </w:p>
    <w:p>
      <w:pPr>
        <w:pStyle w:val="16"/>
        <w:adjustRightInd w:val="0"/>
        <w:snapToGrid w:val="0"/>
        <w:spacing w:line="440" w:lineRule="exact"/>
        <w:jc w:val="left"/>
        <w:rPr>
          <w:sz w:val="24"/>
        </w:rPr>
      </w:pPr>
      <w:r>
        <w:rPr>
          <w:rFonts w:hint="eastAsia"/>
          <w:sz w:val="24"/>
        </w:rPr>
        <w:t>四、财政拨款收入支出决算总表</w:t>
      </w:r>
    </w:p>
    <w:p>
      <w:pPr>
        <w:pStyle w:val="16"/>
        <w:adjustRightInd w:val="0"/>
        <w:snapToGrid w:val="0"/>
        <w:spacing w:line="440" w:lineRule="exact"/>
        <w:jc w:val="left"/>
        <w:rPr>
          <w:sz w:val="24"/>
        </w:rPr>
      </w:pPr>
      <w:r>
        <w:rPr>
          <w:rFonts w:hint="eastAsia"/>
          <w:sz w:val="24"/>
        </w:rPr>
        <w:t>五、财政拨款支出决算明细表</w:t>
      </w:r>
    </w:p>
    <w:p>
      <w:pPr>
        <w:pStyle w:val="16"/>
        <w:adjustRightInd w:val="0"/>
        <w:snapToGrid w:val="0"/>
        <w:spacing w:line="440" w:lineRule="exact"/>
        <w:jc w:val="left"/>
        <w:rPr>
          <w:sz w:val="24"/>
        </w:rPr>
      </w:pPr>
      <w:r>
        <w:rPr>
          <w:rFonts w:hint="eastAsia"/>
          <w:sz w:val="24"/>
        </w:rPr>
        <w:t>六、一般公共预算财政拨款支出决算表</w:t>
      </w:r>
    </w:p>
    <w:p>
      <w:pPr>
        <w:pStyle w:val="16"/>
        <w:adjustRightInd w:val="0"/>
        <w:snapToGrid w:val="0"/>
        <w:spacing w:line="440" w:lineRule="exact"/>
        <w:jc w:val="left"/>
        <w:rPr>
          <w:sz w:val="24"/>
        </w:rPr>
      </w:pPr>
      <w:r>
        <w:rPr>
          <w:rFonts w:hint="eastAsia"/>
          <w:sz w:val="24"/>
        </w:rPr>
        <w:t>七、一般公共预算财政拨款支出决算明细表</w:t>
      </w:r>
    </w:p>
    <w:p>
      <w:pPr>
        <w:pStyle w:val="16"/>
        <w:adjustRightInd w:val="0"/>
        <w:snapToGrid w:val="0"/>
        <w:spacing w:line="440" w:lineRule="exact"/>
        <w:jc w:val="left"/>
        <w:rPr>
          <w:sz w:val="24"/>
        </w:rPr>
      </w:pPr>
      <w:r>
        <w:rPr>
          <w:rFonts w:hint="eastAsia"/>
          <w:sz w:val="24"/>
        </w:rPr>
        <w:t>八、一般公共预算财政拨款基本支出决算明细表</w:t>
      </w:r>
    </w:p>
    <w:p>
      <w:pPr>
        <w:pStyle w:val="16"/>
        <w:adjustRightInd w:val="0"/>
        <w:snapToGrid w:val="0"/>
        <w:spacing w:line="440" w:lineRule="exact"/>
        <w:jc w:val="left"/>
        <w:rPr>
          <w:sz w:val="24"/>
        </w:rPr>
      </w:pPr>
      <w:r>
        <w:rPr>
          <w:rFonts w:hint="eastAsia"/>
          <w:sz w:val="24"/>
        </w:rPr>
        <w:t>九、一般公共预算财政拨款项目支出决算表</w:t>
      </w:r>
    </w:p>
    <w:p>
      <w:pPr>
        <w:pStyle w:val="16"/>
        <w:adjustRightInd w:val="0"/>
        <w:snapToGrid w:val="0"/>
        <w:spacing w:line="440" w:lineRule="exact"/>
        <w:jc w:val="left"/>
        <w:rPr>
          <w:sz w:val="24"/>
        </w:rPr>
      </w:pPr>
      <w:r>
        <w:rPr>
          <w:rFonts w:hint="eastAsia"/>
          <w:sz w:val="24"/>
        </w:rPr>
        <w:t>十、政府性基金预算财政拨款收入支出决算表</w:t>
      </w:r>
    </w:p>
    <w:p>
      <w:pPr>
        <w:pStyle w:val="16"/>
        <w:adjustRightInd w:val="0"/>
        <w:snapToGrid w:val="0"/>
        <w:spacing w:line="440" w:lineRule="exact"/>
        <w:jc w:val="left"/>
        <w:rPr>
          <w:sz w:val="24"/>
        </w:rPr>
      </w:pPr>
      <w:r>
        <w:rPr>
          <w:rFonts w:hint="eastAsia"/>
          <w:sz w:val="24"/>
        </w:rPr>
        <w:t>十一、国有资本经营预算财政拨款收入支出决算表</w:t>
      </w:r>
    </w:p>
    <w:p>
      <w:pPr>
        <w:pStyle w:val="16"/>
        <w:adjustRightInd w:val="0"/>
        <w:snapToGrid w:val="0"/>
        <w:spacing w:line="440" w:lineRule="exact"/>
        <w:jc w:val="left"/>
        <w:rPr>
          <w:sz w:val="24"/>
        </w:rPr>
      </w:pPr>
      <w:r>
        <w:rPr>
          <w:rFonts w:hint="eastAsia"/>
          <w:sz w:val="24"/>
        </w:rPr>
        <w:t>十二、国有资本经营预算财政拨款支出决算表</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6"/>
        <w:jc w:val="center"/>
        <w:rPr>
          <w:rStyle w:val="33"/>
          <w:rFonts w:ascii="黑体" w:hAnsi="黑体" w:eastAsia="黑体"/>
          <w:b/>
          <w:bCs w:val="0"/>
        </w:rPr>
      </w:pPr>
      <w:r>
        <w:rPr>
          <w:rFonts w:hint="eastAsia" w:ascii="黑体" w:hAnsi="黑体" w:eastAsia="黑体"/>
          <w:b w:val="0"/>
        </w:rPr>
        <w:t xml:space="preserve">第一部分 </w:t>
      </w:r>
      <w:r>
        <w:rPr>
          <w:rStyle w:val="33"/>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7"/>
        <w:numPr>
          <w:ilvl w:val="0"/>
          <w:numId w:val="0"/>
        </w:numPr>
        <w:ind w:firstLine="640" w:firstLineChars="200"/>
        <w:rPr>
          <w:rFonts w:hint="eastAsia"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60606"/>
          <w:kern w:val="0"/>
          <w:sz w:val="32"/>
          <w:szCs w:val="32"/>
        </w:rPr>
        <w:t>我单位性质为行政单位，主要职责是：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党的纪律检查工作。贯彻落实党中央关于纪律检查工作的决定，维护党的章程和其他党内法规，检查党的路线方针政策和决议的执行情况，协助县委推进全面从严治党、加强党风建设和组织协调反腐败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(3)负责全县监察工作。贯彻落实党中央、省委、市委关于监察工作的决定，维护宪法法律，依法对县委管理的行使公权力的公职人员进行监察，调查职务违法和职务犯罪，开展廉政建设和反腐败工作。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(5)负责组织协调全面从严治党、党风廉政建设和反腐败宣传教育工作。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(6)负责综合分析全面从严治党、党风廉政建设和反腐败工作情况，对纪检监察工作重要理论及实践问题进行调查研究。制定或者修改全县纪检监察制度，参与起草制定相关制度和规范性文件。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(7)在市纪委监委的领导下，加强对反腐败国际追逃追赃和防逃工作的组织协调，督促有关单位做好相关工作。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根据干部管理权限，负责纪检监察系统领导班子建设、干部队伍建设和组织建设的综合规划、政策研究、制度建设和业务指导。会同有关方面做好县纪委监委派驻（出）机构、乡（镇）纪委领导班子建设有关工作。组织和指导全县纪检监察系统干部教育培训工作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(9)完成县委和市纪委监委交办的其他任务。</w:t>
      </w:r>
    </w:p>
    <w:p>
      <w:pPr>
        <w:numPr>
          <w:ilvl w:val="0"/>
          <w:numId w:val="0"/>
        </w:numPr>
      </w:pPr>
    </w:p>
    <w:p>
      <w:pPr>
        <w:pStyle w:val="7"/>
        <w:ind w:firstLine="640" w:firstLineChars="200"/>
        <w:rPr>
          <w:rStyle w:val="34"/>
          <w:b w:val="0"/>
          <w:bCs w:val="0"/>
        </w:rPr>
      </w:pPr>
      <w:bookmarkStart w:id="14" w:name="_Toc15377200"/>
      <w:bookmarkStart w:id="15" w:name="_Toc15396601"/>
      <w:r>
        <w:rPr>
          <w:rFonts w:hint="eastAsia" w:ascii="黑体" w:eastAsia="黑体"/>
          <w:b w:val="0"/>
          <w:lang w:eastAsia="zh-CN"/>
        </w:rPr>
        <w:t>二</w:t>
      </w:r>
      <w:r>
        <w:rPr>
          <w:rFonts w:hint="eastAsia" w:ascii="黑体" w:eastAsia="黑体"/>
          <w:b w:val="0"/>
        </w:rPr>
        <w:t>、</w:t>
      </w:r>
      <w:r>
        <w:rPr>
          <w:rFonts w:hint="eastAsia" w:ascii="黑体" w:hAnsi="黑体" w:eastAsia="黑体"/>
          <w:b w:val="0"/>
        </w:rPr>
        <w:t>机</w:t>
      </w:r>
      <w:r>
        <w:rPr>
          <w:rStyle w:val="34"/>
          <w:rFonts w:hint="eastAsia" w:ascii="黑体" w:hAnsi="黑体" w:eastAsia="黑体"/>
          <w:b w:val="0"/>
          <w:bCs w:val="0"/>
        </w:rPr>
        <w:t>构设置</w:t>
      </w:r>
      <w:bookmarkEnd w:id="14"/>
      <w:bookmarkEnd w:id="15"/>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共宝兴县纪律检查委员会、宝兴县监察委员会合署办公，共有11个内设机构，具体为：办公室、组织部、党风政风监督室、信访室、案件监督管理室（信息技术保障室）、第一至第四纪检监察室、干部监督室、案件审理室。</w:t>
      </w:r>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设有1个事业单位为党风廉政教育培训中心。</w:t>
      </w:r>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县委巡察办、巡察组为县委工作部门。</w:t>
      </w:r>
    </w:p>
    <w:p>
      <w:pPr>
        <w:pStyle w:val="2"/>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此外，还设有宝兴县纪委监委派驻纪检监察机构14个。</w:t>
      </w:r>
    </w:p>
    <w:p>
      <w:pPr>
        <w:numPr>
          <w:ilvl w:val="0"/>
          <w:numId w:val="1"/>
        </w:numPr>
        <w:snapToGrid w:val="0"/>
        <w:spacing w:line="520" w:lineRule="exact"/>
        <w:ind w:firstLine="640" w:firstLineChars="200"/>
        <w:rPr>
          <w:rFonts w:hint="eastAsia"/>
        </w:rPr>
      </w:pPr>
      <w:r>
        <w:rPr>
          <w:rFonts w:hint="eastAsia" w:ascii="仿宋_GB2312" w:hAnsi="仿宋_GB2312" w:eastAsia="仿宋_GB2312" w:cs="仿宋_GB2312"/>
          <w:kern w:val="2"/>
          <w:sz w:val="32"/>
          <w:szCs w:val="32"/>
          <w:lang w:val="en-US" w:eastAsia="zh-CN" w:bidi="ar-SA"/>
        </w:rPr>
        <w:t>人员情况。2023年年末在职人数68人，比2022年年末减少3人，其中：2023年，调出6人，调入3人，退休1人，新进1人，年末公务员65人，事业人员3人。</w:t>
      </w:r>
      <w:bookmarkStart w:id="16" w:name="_Toc15396602"/>
      <w:bookmarkStart w:id="17" w:name="_Toc15377204"/>
    </w:p>
    <w:p>
      <w:pPr>
        <w:pStyle w:val="2"/>
        <w:rPr>
          <w:rFonts w:hint="eastAsia"/>
        </w:rPr>
      </w:pPr>
    </w:p>
    <w:p>
      <w:pPr>
        <w:numPr>
          <w:ilvl w:val="0"/>
          <w:numId w:val="0"/>
        </w:numPr>
        <w:snapToGrid w:val="0"/>
        <w:spacing w:line="520" w:lineRule="exact"/>
        <w:ind w:firstLine="440" w:firstLineChars="100"/>
        <w:rPr>
          <w:rStyle w:val="33"/>
          <w:rFonts w:ascii="黑体" w:hAnsi="黑体" w:eastAsia="黑体"/>
          <w:b w:val="0"/>
          <w:bCs/>
        </w:rPr>
      </w:pPr>
      <w:r>
        <w:rPr>
          <w:rStyle w:val="33"/>
          <w:rFonts w:hint="eastAsia" w:ascii="黑体" w:hAnsi="黑体" w:eastAsia="黑体"/>
          <w:b w:val="0"/>
          <w:bCs/>
        </w:rPr>
        <w:t>第二部分 2023年度部门决算情况说明</w:t>
      </w:r>
      <w:bookmarkEnd w:id="16"/>
      <w:bookmarkEnd w:id="17"/>
    </w:p>
    <w:p/>
    <w:p>
      <w:pPr>
        <w:pStyle w:val="32"/>
        <w:numPr>
          <w:ilvl w:val="0"/>
          <w:numId w:val="2"/>
        </w:numPr>
        <w:spacing w:line="600" w:lineRule="exact"/>
        <w:ind w:firstLineChars="0"/>
        <w:outlineLvl w:val="1"/>
        <w:rPr>
          <w:rStyle w:val="34"/>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4"/>
          <w:rFonts w:hint="eastAsia" w:ascii="黑体" w:hAnsi="黑体" w:eastAsia="黑体"/>
          <w:b w:val="0"/>
        </w:rPr>
        <w:t>入支出决算总体情况说明</w:t>
      </w:r>
      <w:bookmarkEnd w:id="18"/>
      <w:bookmarkEnd w:id="19"/>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1778.12</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w:t>
      </w:r>
      <w:r>
        <w:rPr>
          <w:rFonts w:hint="eastAsia" w:ascii="仿宋" w:hAnsi="仿宋" w:eastAsia="仿宋"/>
          <w:sz w:val="32"/>
          <w:szCs w:val="32"/>
          <w:lang w:eastAsia="zh-CN"/>
        </w:rPr>
        <w:t>入</w:t>
      </w:r>
      <w:r>
        <w:rPr>
          <w:rFonts w:hint="eastAsia" w:ascii="仿宋" w:hAnsi="仿宋" w:eastAsia="仿宋"/>
          <w:sz w:val="32"/>
          <w:szCs w:val="32"/>
        </w:rPr>
        <w:t>增加</w:t>
      </w:r>
      <w:r>
        <w:rPr>
          <w:rFonts w:hint="eastAsia" w:ascii="仿宋" w:hAnsi="仿宋" w:eastAsia="仿宋"/>
          <w:sz w:val="32"/>
          <w:szCs w:val="32"/>
          <w:lang w:val="en-US" w:eastAsia="zh-CN"/>
        </w:rPr>
        <w:t>115.87</w:t>
      </w:r>
      <w:r>
        <w:rPr>
          <w:rFonts w:hint="eastAsia" w:ascii="仿宋" w:hAnsi="仿宋" w:eastAsia="仿宋"/>
          <w:sz w:val="32"/>
          <w:szCs w:val="32"/>
        </w:rPr>
        <w:t>万元，增长</w:t>
      </w:r>
      <w:r>
        <w:rPr>
          <w:rFonts w:hint="eastAsia" w:ascii="仿宋" w:hAnsi="仿宋" w:eastAsia="仿宋"/>
          <w:sz w:val="32"/>
          <w:szCs w:val="32"/>
          <w:lang w:val="en-US" w:eastAsia="zh-CN"/>
        </w:rPr>
        <w:t>6.9</w:t>
      </w:r>
      <w:r>
        <w:rPr>
          <w:rFonts w:ascii="仿宋" w:hAnsi="仿宋" w:eastAsia="仿宋"/>
          <w:sz w:val="32"/>
          <w:szCs w:val="32"/>
        </w:rPr>
        <w:t>%</w:t>
      </w:r>
      <w:r>
        <w:rPr>
          <w:rFonts w:hint="eastAsia" w:ascii="仿宋" w:hAnsi="仿宋" w:eastAsia="仿宋"/>
          <w:sz w:val="32"/>
          <w:szCs w:val="32"/>
          <w:lang w:eastAsia="zh-CN"/>
        </w:rPr>
        <w:t>，支出增加</w:t>
      </w:r>
      <w:r>
        <w:rPr>
          <w:rFonts w:hint="eastAsia" w:ascii="仿宋" w:hAnsi="仿宋" w:eastAsia="仿宋"/>
          <w:sz w:val="32"/>
          <w:szCs w:val="32"/>
          <w:lang w:val="en-US" w:eastAsia="zh-CN"/>
        </w:rPr>
        <w:t>115.87万元，增长6.9%</w:t>
      </w:r>
      <w:r>
        <w:rPr>
          <w:rFonts w:hint="eastAsia" w:ascii="仿宋" w:hAnsi="仿宋" w:eastAsia="仿宋"/>
          <w:sz w:val="32"/>
          <w:szCs w:val="32"/>
        </w:rPr>
        <w:t>。主要变动原因是</w:t>
      </w:r>
      <w:r>
        <w:rPr>
          <w:rFonts w:hint="eastAsia" w:ascii="仿宋" w:hAnsi="仿宋" w:eastAsia="仿宋"/>
          <w:sz w:val="32"/>
          <w:szCs w:val="32"/>
          <w:lang w:val="en-US" w:eastAsia="zh-CN"/>
        </w:rPr>
        <w:t>2023年度</w:t>
      </w:r>
      <w:r>
        <w:rPr>
          <w:rFonts w:hint="eastAsia" w:ascii="仿宋" w:hAnsi="仿宋" w:eastAsia="仿宋"/>
          <w:sz w:val="32"/>
          <w:szCs w:val="32"/>
        </w:rPr>
        <w:t>大案要案数量增加，费用相应增加。</w:t>
      </w:r>
    </w:p>
    <w:p>
      <w:pPr>
        <w:pStyle w:val="24"/>
        <w:rPr>
          <w:rFonts w:hint="eastAsia" w:ascii="仿宋" w:hAnsi="仿宋" w:eastAsia="仿宋"/>
          <w:sz w:val="32"/>
          <w:szCs w:val="32"/>
        </w:rPr>
      </w:pPr>
      <w:r>
        <w:rPr>
          <w:rFonts w:ascii="仿宋_GB2312" w:hAnsi="仿宋" w:eastAsia="仿宋_GB2312"/>
          <w:sz w:val="32"/>
          <w:szCs w:val="32"/>
        </w:rPr>
        <w:drawing>
          <wp:inline distT="0" distB="0" distL="0" distR="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32"/>
        <w:numPr>
          <w:ilvl w:val="0"/>
          <w:numId w:val="2"/>
        </w:numPr>
        <w:spacing w:line="600" w:lineRule="exact"/>
        <w:ind w:firstLineChars="0"/>
        <w:outlineLvl w:val="1"/>
        <w:rPr>
          <w:rStyle w:val="34"/>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4"/>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1778.12</w:t>
      </w:r>
      <w:r>
        <w:rPr>
          <w:rFonts w:hint="eastAsia" w:ascii="仿宋" w:hAnsi="仿宋" w:eastAsia="仿宋"/>
          <w:sz w:val="32"/>
          <w:szCs w:val="32"/>
        </w:rPr>
        <w:t>万元，其中：一般公共预算财政拨款收入</w:t>
      </w:r>
      <w:r>
        <w:rPr>
          <w:sz w:val="32"/>
          <w:szCs w:val="32"/>
        </w:rPr>
        <w:t>1778.12</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240" w:lineRule="auto"/>
        <w:ind w:firstLine="0" w:firstLineChars="0"/>
        <w:outlineLvl w:val="1"/>
        <w:rPr>
          <w:rFonts w:ascii="仿宋" w:hAnsi="仿宋" w:eastAsia="仿宋"/>
          <w:sz w:val="32"/>
          <w:szCs w:val="32"/>
        </w:rPr>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32"/>
        <w:numPr>
          <w:ilvl w:val="0"/>
          <w:numId w:val="2"/>
        </w:numPr>
        <w:spacing w:line="600" w:lineRule="exact"/>
        <w:ind w:firstLineChars="0"/>
        <w:outlineLvl w:val="1"/>
        <w:rPr>
          <w:rStyle w:val="34"/>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4"/>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1778.12</w:t>
      </w:r>
      <w:r>
        <w:rPr>
          <w:rFonts w:hint="eastAsia" w:ascii="仿宋" w:hAnsi="仿宋" w:eastAsia="仿宋"/>
          <w:sz w:val="32"/>
          <w:szCs w:val="32"/>
        </w:rPr>
        <w:t>万元，其中：基本支出</w:t>
      </w:r>
      <w:r>
        <w:rPr>
          <w:sz w:val="32"/>
          <w:szCs w:val="32"/>
        </w:rPr>
        <w:t>1538.52</w:t>
      </w:r>
      <w:r>
        <w:rPr>
          <w:rFonts w:hint="eastAsia" w:ascii="仿宋" w:hAnsi="仿宋" w:eastAsia="仿宋"/>
          <w:sz w:val="32"/>
          <w:szCs w:val="32"/>
        </w:rPr>
        <w:t>万元，占</w:t>
      </w:r>
      <w:r>
        <w:rPr>
          <w:sz w:val="32"/>
          <w:szCs w:val="32"/>
        </w:rPr>
        <w:t>86.52</w:t>
      </w:r>
      <w:r>
        <w:rPr>
          <w:rFonts w:ascii="仿宋" w:hAnsi="仿宋" w:eastAsia="仿宋"/>
          <w:sz w:val="32"/>
          <w:szCs w:val="32"/>
        </w:rPr>
        <w:t>%</w:t>
      </w:r>
      <w:r>
        <w:rPr>
          <w:rFonts w:hint="eastAsia" w:ascii="仿宋" w:hAnsi="仿宋" w:eastAsia="仿宋"/>
          <w:sz w:val="32"/>
          <w:szCs w:val="32"/>
        </w:rPr>
        <w:t>；项目支出</w:t>
      </w:r>
      <w:r>
        <w:rPr>
          <w:sz w:val="32"/>
          <w:szCs w:val="32"/>
        </w:rPr>
        <w:t>239.6</w:t>
      </w:r>
      <w:r>
        <w:rPr>
          <w:rFonts w:hint="eastAsia" w:ascii="仿宋" w:hAnsi="仿宋" w:eastAsia="仿宋"/>
          <w:sz w:val="32"/>
          <w:szCs w:val="32"/>
        </w:rPr>
        <w:t>万元，占</w:t>
      </w:r>
      <w:r>
        <w:rPr>
          <w:sz w:val="32"/>
          <w:szCs w:val="32"/>
        </w:rPr>
        <w:t>13.47</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r>
        <w:drawing>
          <wp:inline distT="0" distB="0" distL="114300" distR="114300">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320" w:firstLineChars="1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4"/>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24"/>
      <w:bookmarkEnd w:id="25"/>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2023年度财政拨款收、支总计均为</w:t>
      </w:r>
      <w:r>
        <w:rPr>
          <w:sz w:val="32"/>
          <w:szCs w:val="32"/>
        </w:rPr>
        <w:t>1778.12</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115.87</w:t>
      </w:r>
      <w:r>
        <w:rPr>
          <w:rFonts w:hint="eastAsia" w:ascii="仿宋" w:hAnsi="仿宋" w:eastAsia="仿宋"/>
          <w:sz w:val="32"/>
          <w:szCs w:val="32"/>
        </w:rPr>
        <w:t>万元，增长</w:t>
      </w:r>
      <w:r>
        <w:rPr>
          <w:rFonts w:hint="eastAsia" w:ascii="仿宋" w:hAnsi="仿宋" w:eastAsia="仿宋"/>
          <w:sz w:val="32"/>
          <w:szCs w:val="32"/>
          <w:lang w:val="en-US" w:eastAsia="zh-CN"/>
        </w:rPr>
        <w:t>6.9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2023年度</w:t>
      </w:r>
      <w:r>
        <w:rPr>
          <w:rFonts w:hint="eastAsia" w:ascii="仿宋" w:hAnsi="仿宋" w:eastAsia="仿宋"/>
          <w:sz w:val="32"/>
          <w:szCs w:val="32"/>
        </w:rPr>
        <w:t>大案要案数量增加，费用相应增加。</w:t>
      </w:r>
    </w:p>
    <w:p>
      <w:pPr>
        <w:spacing w:line="240" w:lineRule="auto"/>
        <w:rPr>
          <w:rFonts w:ascii="仿宋" w:hAnsi="仿宋" w:eastAsia="仿宋"/>
          <w:sz w:val="32"/>
          <w:szCs w:val="32"/>
        </w:rPr>
      </w:pPr>
      <w:r>
        <w:rPr>
          <w:rFonts w:ascii="仿宋_GB2312" w:hAnsi="仿宋" w:eastAsia="仿宋_GB2312"/>
          <w:sz w:val="32"/>
          <w:szCs w:val="32"/>
        </w:rPr>
        <w:drawing>
          <wp:inline distT="0" distB="0" distL="0" distR="0">
            <wp:extent cx="5247640" cy="2847340"/>
            <wp:effectExtent l="4445" t="4445" r="5715" b="571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4"/>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2023年度一般公共预算财政拨款支出</w:t>
      </w:r>
      <w:r>
        <w:rPr>
          <w:sz w:val="32"/>
          <w:szCs w:val="32"/>
        </w:rPr>
        <w:t>1778.12</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115.87</w:t>
      </w:r>
      <w:r>
        <w:rPr>
          <w:rFonts w:hint="eastAsia" w:ascii="仿宋" w:hAnsi="仿宋" w:eastAsia="仿宋"/>
          <w:sz w:val="32"/>
          <w:szCs w:val="32"/>
        </w:rPr>
        <w:t>万元，增长</w:t>
      </w:r>
      <w:r>
        <w:rPr>
          <w:rFonts w:hint="eastAsia" w:ascii="仿宋" w:hAnsi="仿宋" w:eastAsia="仿宋"/>
          <w:sz w:val="32"/>
          <w:szCs w:val="32"/>
          <w:lang w:val="en-US" w:eastAsia="zh-CN"/>
        </w:rPr>
        <w:t>6.9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2023年度</w:t>
      </w:r>
      <w:r>
        <w:rPr>
          <w:rFonts w:hint="eastAsia" w:ascii="仿宋" w:hAnsi="仿宋" w:eastAsia="仿宋"/>
          <w:sz w:val="32"/>
          <w:szCs w:val="32"/>
        </w:rPr>
        <w:t>大案要案数量增加，费用相应增加。</w:t>
      </w:r>
    </w:p>
    <w:p>
      <w:pPr>
        <w:spacing w:line="240" w:lineRule="auto"/>
        <w:ind w:firstLine="0" w:firstLineChars="0"/>
      </w:pPr>
      <w:r>
        <w:rPr>
          <w:rFonts w:ascii="仿宋_GB2312" w:hAnsi="仿宋" w:eastAsia="仿宋_GB2312"/>
          <w:sz w:val="32"/>
          <w:szCs w:val="32"/>
        </w:rPr>
        <w:drawing>
          <wp:inline distT="0" distB="0" distL="0" distR="0">
            <wp:extent cx="4572000" cy="2743200"/>
            <wp:effectExtent l="4445" t="4445" r="14605" b="1460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1778.12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1298.34</w:t>
      </w:r>
      <w:r>
        <w:rPr>
          <w:rFonts w:hint="eastAsia" w:ascii="仿宋" w:hAnsi="仿宋" w:eastAsia="仿宋"/>
          <w:sz w:val="32"/>
          <w:szCs w:val="32"/>
        </w:rPr>
        <w:t>万元，占</w:t>
      </w:r>
      <w:r>
        <w:rPr>
          <w:rFonts w:hint="eastAsia" w:ascii="仿宋" w:hAnsi="仿宋" w:eastAsia="仿宋"/>
          <w:sz w:val="32"/>
          <w:szCs w:val="32"/>
          <w:lang w:val="en-US" w:eastAsia="zh-CN"/>
        </w:rPr>
        <w:t>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299.63</w:t>
      </w:r>
      <w:r>
        <w:rPr>
          <w:rFonts w:hint="eastAsia" w:ascii="仿宋" w:hAnsi="仿宋" w:eastAsia="仿宋"/>
          <w:sz w:val="32"/>
          <w:szCs w:val="32"/>
        </w:rPr>
        <w:t>万元，占</w:t>
      </w:r>
      <w:r>
        <w:rPr>
          <w:rFonts w:hint="eastAsia" w:ascii="仿宋" w:hAnsi="仿宋" w:eastAsia="仿宋"/>
          <w:sz w:val="32"/>
          <w:szCs w:val="32"/>
          <w:lang w:val="en-US" w:eastAsia="zh-CN"/>
        </w:rPr>
        <w:t>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75.17</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1.46万元，占0.008%；</w:t>
      </w:r>
      <w:r>
        <w:rPr>
          <w:rFonts w:hint="eastAsia" w:ascii="仿宋" w:hAnsi="仿宋" w:eastAsia="仿宋"/>
          <w:b/>
          <w:bCs/>
          <w:sz w:val="32"/>
          <w:szCs w:val="32"/>
        </w:rPr>
        <w:t>住房保障支出</w:t>
      </w:r>
      <w:r>
        <w:rPr>
          <w:rFonts w:hint="eastAsia" w:ascii="仿宋" w:hAnsi="仿宋" w:eastAsia="仿宋"/>
          <w:sz w:val="32"/>
          <w:szCs w:val="32"/>
          <w:lang w:val="en-US" w:eastAsia="zh-CN"/>
        </w:rPr>
        <w:t>103.52</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p>
    <w:p>
      <w:pPr>
        <w:spacing w:line="240" w:lineRule="auto"/>
        <w:ind w:firstLine="0"/>
        <w:rPr>
          <w:rFonts w:ascii="仿宋_GB2312" w:hAnsi="仿宋" w:eastAsia="仿宋_GB2312"/>
          <w:sz w:val="32"/>
          <w:szCs w:val="32"/>
        </w:rPr>
      </w:pPr>
      <w:r>
        <w:drawing>
          <wp:inline distT="0" distB="0" distL="114300" distR="114300">
            <wp:extent cx="4572000" cy="274320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pPr>
      <w:r>
        <w:rPr>
          <w:rFonts w:hint="eastAsia" w:ascii="仿宋" w:hAnsi="仿宋" w:eastAsia="仿宋"/>
          <w:b/>
          <w:sz w:val="32"/>
          <w:szCs w:val="32"/>
        </w:rPr>
        <w:t>（注：数据来源于财决01-1表，仅罗列本部门涉及的全部功能分类科目，至类级。）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sz w:val="32"/>
          <w:szCs w:val="32"/>
        </w:rPr>
        <w:t>1778.12</w:t>
      </w:r>
      <w:r>
        <w:rPr>
          <w:rFonts w:hint="eastAsia" w:ascii="仿宋" w:hAnsi="仿宋" w:eastAsia="仿宋"/>
          <w:sz w:val="32"/>
          <w:szCs w:val="32"/>
        </w:rPr>
        <w:t>，</w:t>
      </w:r>
      <w:r>
        <w:rPr>
          <w:rStyle w:val="22"/>
          <w:rFonts w:hint="eastAsia" w:ascii="仿宋" w:hAnsi="仿宋" w:eastAsia="仿宋"/>
          <w:bCs/>
          <w:sz w:val="32"/>
          <w:szCs w:val="32"/>
        </w:rPr>
        <w:t>完成预算</w:t>
      </w:r>
      <w:r>
        <w:rPr>
          <w:rStyle w:val="22"/>
          <w:rFonts w:hint="eastAsia" w:ascii="仿宋" w:hAnsi="仿宋" w:eastAsia="仿宋"/>
          <w:bCs/>
          <w:sz w:val="32"/>
          <w:szCs w:val="32"/>
          <w:lang w:val="en-US" w:eastAsia="zh-CN"/>
        </w:rPr>
        <w:t>109.07</w:t>
      </w:r>
      <w:r>
        <w:rPr>
          <w:rStyle w:val="22"/>
          <w:rFonts w:ascii="仿宋" w:hAnsi="仿宋" w:eastAsia="仿宋"/>
          <w:bCs/>
          <w:sz w:val="32"/>
          <w:szCs w:val="32"/>
        </w:rPr>
        <w:t>%</w:t>
      </w:r>
      <w:r>
        <w:rPr>
          <w:rStyle w:val="22"/>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22"/>
          <w:rFonts w:ascii="仿宋" w:hAnsi="仿宋" w:eastAsia="仿宋"/>
          <w:bCs/>
          <w:sz w:val="32"/>
          <w:szCs w:val="32"/>
        </w:rPr>
        <w:t>1.</w:t>
      </w:r>
      <w:r>
        <w:rPr>
          <w:rStyle w:val="22"/>
          <w:rFonts w:hint="eastAsia" w:ascii="仿宋" w:hAnsi="仿宋" w:eastAsia="仿宋"/>
          <w:bCs/>
          <w:sz w:val="32"/>
          <w:szCs w:val="32"/>
        </w:rPr>
        <w:t>一般公共服务</w:t>
      </w:r>
      <w:r>
        <w:rPr>
          <w:rStyle w:val="22"/>
          <w:rFonts w:hint="eastAsia" w:ascii="仿宋" w:hAnsi="仿宋" w:eastAsia="仿宋"/>
          <w:bCs/>
          <w:sz w:val="32"/>
          <w:szCs w:val="32"/>
          <w:lang w:eastAsia="zh-CN"/>
        </w:rPr>
        <w:t>支出</w:t>
      </w:r>
      <w:r>
        <w:rPr>
          <w:rStyle w:val="22"/>
          <w:rFonts w:hint="eastAsia" w:ascii="仿宋" w:hAnsi="仿宋" w:eastAsia="仿宋"/>
          <w:bCs/>
          <w:sz w:val="32"/>
          <w:szCs w:val="32"/>
        </w:rPr>
        <w:t>（类）纪检监察事务（款）行政运行（项）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1025.28</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93.34</w:t>
      </w:r>
      <w:r>
        <w:rPr>
          <w:rStyle w:val="22"/>
          <w:rFonts w:ascii="仿宋" w:hAnsi="仿宋" w:eastAsia="仿宋"/>
          <w:b w:val="0"/>
          <w:bCs/>
          <w:sz w:val="32"/>
          <w:szCs w:val="32"/>
        </w:rPr>
        <w:t>%</w:t>
      </w:r>
      <w:r>
        <w:rPr>
          <w:rStyle w:val="22"/>
          <w:rFonts w:hint="eastAsia" w:ascii="仿宋" w:hAnsi="仿宋" w:eastAsia="仿宋"/>
          <w:b w:val="0"/>
          <w:bCs/>
          <w:sz w:val="32"/>
          <w:szCs w:val="32"/>
        </w:rPr>
        <w:t>，决算数小于预算数的主要原因是</w:t>
      </w:r>
      <w:r>
        <w:rPr>
          <w:rFonts w:hint="eastAsia" w:ascii="仿宋_GB2312" w:hAnsi="仿宋_GB2312" w:eastAsia="仿宋_GB2312" w:cs="仿宋_GB2312"/>
          <w:kern w:val="2"/>
          <w:sz w:val="32"/>
          <w:szCs w:val="32"/>
          <w:lang w:val="en-US" w:eastAsia="zh-CN" w:bidi="ar-SA"/>
        </w:rPr>
        <w:t>2023年，调出6人，调入3人，退休1人，新进1人，对比2022年度基本支出减少</w:t>
      </w:r>
      <w:r>
        <w:rPr>
          <w:rStyle w:val="22"/>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2"/>
          <w:rFonts w:ascii="仿宋" w:hAnsi="仿宋" w:eastAsia="仿宋"/>
          <w:bCs/>
          <w:sz w:val="32"/>
          <w:szCs w:val="32"/>
        </w:rPr>
        <w:t>2.</w:t>
      </w:r>
      <w:r>
        <w:rPr>
          <w:rStyle w:val="22"/>
          <w:rFonts w:hint="eastAsia" w:ascii="仿宋" w:hAnsi="仿宋" w:eastAsia="仿宋"/>
          <w:bCs/>
          <w:sz w:val="32"/>
          <w:szCs w:val="32"/>
        </w:rPr>
        <w:t>一般公共服务</w:t>
      </w:r>
      <w:r>
        <w:rPr>
          <w:rStyle w:val="22"/>
          <w:rFonts w:hint="eastAsia" w:ascii="仿宋" w:hAnsi="仿宋" w:eastAsia="仿宋"/>
          <w:bCs/>
          <w:sz w:val="32"/>
          <w:szCs w:val="32"/>
          <w:lang w:eastAsia="zh-CN"/>
        </w:rPr>
        <w:t>支出</w:t>
      </w:r>
      <w:r>
        <w:rPr>
          <w:rStyle w:val="22"/>
          <w:rFonts w:hint="eastAsia" w:ascii="仿宋" w:hAnsi="仿宋" w:eastAsia="仿宋"/>
          <w:bCs/>
          <w:sz w:val="32"/>
          <w:szCs w:val="32"/>
        </w:rPr>
        <w:t>（类）纪检监察事务（款）</w:t>
      </w:r>
      <w:r>
        <w:rPr>
          <w:rStyle w:val="22"/>
          <w:rFonts w:hint="eastAsia" w:ascii="仿宋" w:hAnsi="仿宋" w:eastAsia="仿宋"/>
          <w:bCs/>
          <w:sz w:val="32"/>
          <w:szCs w:val="32"/>
          <w:lang w:eastAsia="zh-CN"/>
        </w:rPr>
        <w:t>一般行政管理事务</w:t>
      </w:r>
      <w:r>
        <w:rPr>
          <w:rStyle w:val="22"/>
          <w:rFonts w:hint="eastAsia" w:ascii="仿宋" w:hAnsi="仿宋" w:eastAsia="仿宋"/>
          <w:bCs/>
          <w:sz w:val="32"/>
          <w:szCs w:val="32"/>
        </w:rPr>
        <w:t>（项）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78.39</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97.6</w:t>
      </w:r>
      <w:r>
        <w:rPr>
          <w:rStyle w:val="22"/>
          <w:rFonts w:ascii="仿宋" w:hAnsi="仿宋" w:eastAsia="仿宋"/>
          <w:b w:val="0"/>
          <w:bCs/>
          <w:sz w:val="32"/>
          <w:szCs w:val="32"/>
        </w:rPr>
        <w:t>%</w:t>
      </w:r>
      <w:r>
        <w:rPr>
          <w:rStyle w:val="22"/>
          <w:rFonts w:hint="eastAsia" w:ascii="仿宋" w:hAnsi="仿宋" w:eastAsia="仿宋"/>
          <w:b w:val="0"/>
          <w:bCs/>
          <w:sz w:val="32"/>
          <w:szCs w:val="32"/>
        </w:rPr>
        <w:t>，决算数小于预算数的主要原因是</w:t>
      </w:r>
      <w:r>
        <w:rPr>
          <w:rFonts w:hint="eastAsia" w:ascii="仿宋_GB2312" w:hAnsi="仿宋_GB2312" w:eastAsia="仿宋_GB2312" w:cs="仿宋_GB2312"/>
          <w:kern w:val="2"/>
          <w:sz w:val="32"/>
          <w:szCs w:val="32"/>
          <w:lang w:val="en-US" w:eastAsia="zh-CN" w:bidi="ar-SA"/>
        </w:rPr>
        <w:t>2023年，调出6人，调入3人，退休1人，新进1人，对比2022年度基本支出减少</w:t>
      </w:r>
      <w:r>
        <w:rPr>
          <w:rStyle w:val="22"/>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2"/>
          <w:rFonts w:ascii="仿宋" w:hAnsi="仿宋" w:eastAsia="仿宋"/>
          <w:bCs/>
          <w:sz w:val="32"/>
          <w:szCs w:val="32"/>
        </w:rPr>
        <w:t>3.</w:t>
      </w:r>
      <w:r>
        <w:rPr>
          <w:rStyle w:val="22"/>
          <w:rFonts w:hint="eastAsia" w:ascii="仿宋" w:hAnsi="仿宋" w:eastAsia="仿宋"/>
          <w:bCs/>
          <w:sz w:val="32"/>
          <w:szCs w:val="32"/>
        </w:rPr>
        <w:t>一般公共服务</w:t>
      </w:r>
      <w:r>
        <w:rPr>
          <w:rStyle w:val="22"/>
          <w:rFonts w:hint="eastAsia" w:ascii="仿宋" w:hAnsi="仿宋" w:eastAsia="仿宋"/>
          <w:bCs/>
          <w:sz w:val="32"/>
          <w:szCs w:val="32"/>
          <w:lang w:eastAsia="zh-CN"/>
        </w:rPr>
        <w:t>支出</w:t>
      </w:r>
      <w:r>
        <w:rPr>
          <w:rStyle w:val="22"/>
          <w:rFonts w:hint="eastAsia" w:ascii="仿宋" w:hAnsi="仿宋" w:eastAsia="仿宋"/>
          <w:bCs/>
          <w:sz w:val="32"/>
          <w:szCs w:val="32"/>
        </w:rPr>
        <w:t>（类）纪检监察事务（款）</w:t>
      </w:r>
      <w:r>
        <w:rPr>
          <w:rStyle w:val="22"/>
          <w:rFonts w:hint="eastAsia" w:ascii="仿宋" w:hAnsi="仿宋" w:eastAsia="仿宋"/>
          <w:bCs/>
          <w:sz w:val="32"/>
          <w:szCs w:val="32"/>
          <w:lang w:eastAsia="zh-CN"/>
        </w:rPr>
        <w:t>大案要案查处（项）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124.9</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0</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w:t>
      </w:r>
      <w:r>
        <w:rPr>
          <w:rStyle w:val="22"/>
          <w:rFonts w:hint="eastAsia" w:ascii="仿宋" w:hAnsi="仿宋" w:eastAsia="仿宋"/>
          <w:b w:val="0"/>
          <w:bCs/>
          <w:sz w:val="32"/>
          <w:szCs w:val="32"/>
        </w:rPr>
        <w:t>于预算数的主要原因是</w:t>
      </w:r>
      <w:r>
        <w:rPr>
          <w:rStyle w:val="22"/>
          <w:rFonts w:hint="eastAsia" w:ascii="仿宋" w:hAnsi="仿宋" w:eastAsia="仿宋"/>
          <w:b w:val="0"/>
          <w:bCs/>
          <w:sz w:val="32"/>
          <w:szCs w:val="32"/>
          <w:lang w:val="en-US" w:eastAsia="zh-CN"/>
        </w:rPr>
        <w:t>2023年度大案要案增加</w:t>
      </w:r>
      <w:r>
        <w:rPr>
          <w:rStyle w:val="22"/>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2"/>
          <w:rFonts w:ascii="仿宋" w:hAnsi="仿宋" w:eastAsia="仿宋"/>
          <w:bCs/>
          <w:sz w:val="32"/>
          <w:szCs w:val="32"/>
        </w:rPr>
        <w:t>4.</w:t>
      </w:r>
      <w:r>
        <w:rPr>
          <w:rStyle w:val="22"/>
          <w:rFonts w:hint="eastAsia" w:ascii="仿宋" w:hAnsi="仿宋" w:eastAsia="仿宋"/>
          <w:bCs/>
          <w:sz w:val="32"/>
          <w:szCs w:val="32"/>
        </w:rPr>
        <w:t>一般公共服务</w:t>
      </w:r>
      <w:r>
        <w:rPr>
          <w:rStyle w:val="22"/>
          <w:rFonts w:hint="eastAsia" w:ascii="仿宋" w:hAnsi="仿宋" w:eastAsia="仿宋"/>
          <w:bCs/>
          <w:sz w:val="32"/>
          <w:szCs w:val="32"/>
          <w:lang w:eastAsia="zh-CN"/>
        </w:rPr>
        <w:t>支出</w:t>
      </w:r>
      <w:r>
        <w:rPr>
          <w:rStyle w:val="22"/>
          <w:rFonts w:hint="eastAsia" w:ascii="仿宋" w:hAnsi="仿宋" w:eastAsia="仿宋"/>
          <w:bCs/>
          <w:sz w:val="32"/>
          <w:szCs w:val="32"/>
        </w:rPr>
        <w:t>（类）纪检监察事务（款）</w:t>
      </w:r>
      <w:r>
        <w:rPr>
          <w:rStyle w:val="22"/>
          <w:rFonts w:hint="eastAsia" w:ascii="仿宋" w:hAnsi="仿宋" w:eastAsia="仿宋"/>
          <w:bCs/>
          <w:sz w:val="32"/>
          <w:szCs w:val="32"/>
          <w:lang w:eastAsia="zh-CN"/>
        </w:rPr>
        <w:t>巡视工作</w:t>
      </w:r>
      <w:r>
        <w:rPr>
          <w:rStyle w:val="22"/>
          <w:rFonts w:hint="eastAsia" w:ascii="仿宋" w:hAnsi="仿宋" w:eastAsia="仿宋"/>
          <w:bCs/>
          <w:sz w:val="32"/>
          <w:szCs w:val="32"/>
        </w:rPr>
        <w:t>（项）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13.77</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100</w:t>
      </w:r>
      <w:r>
        <w:rPr>
          <w:rStyle w:val="22"/>
          <w:rFonts w:ascii="仿宋" w:hAnsi="仿宋" w:eastAsia="仿宋"/>
          <w:b w:val="0"/>
          <w:bCs/>
          <w:sz w:val="32"/>
          <w:szCs w:val="32"/>
        </w:rPr>
        <w:t>%</w:t>
      </w:r>
      <w:r>
        <w:rPr>
          <w:rStyle w:val="22"/>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2"/>
          <w:rFonts w:ascii="仿宋" w:hAnsi="仿宋" w:eastAsia="仿宋"/>
          <w:bCs/>
          <w:sz w:val="32"/>
          <w:szCs w:val="32"/>
        </w:rPr>
        <w:t>5.</w:t>
      </w:r>
      <w:r>
        <w:rPr>
          <w:rStyle w:val="22"/>
          <w:rFonts w:hint="eastAsia" w:ascii="仿宋" w:hAnsi="仿宋" w:eastAsia="仿宋"/>
          <w:bCs/>
          <w:sz w:val="32"/>
          <w:szCs w:val="32"/>
        </w:rPr>
        <w:t>一般公共服务</w:t>
      </w:r>
      <w:r>
        <w:rPr>
          <w:rStyle w:val="22"/>
          <w:rFonts w:hint="eastAsia" w:ascii="仿宋" w:hAnsi="仿宋" w:eastAsia="仿宋"/>
          <w:bCs/>
          <w:sz w:val="32"/>
          <w:szCs w:val="32"/>
          <w:lang w:eastAsia="zh-CN"/>
        </w:rPr>
        <w:t>支出</w:t>
      </w:r>
      <w:r>
        <w:rPr>
          <w:rStyle w:val="22"/>
          <w:rFonts w:hint="eastAsia" w:ascii="仿宋" w:hAnsi="仿宋" w:eastAsia="仿宋"/>
          <w:bCs/>
          <w:sz w:val="32"/>
          <w:szCs w:val="32"/>
        </w:rPr>
        <w:t>（类）纪检监察事务（款）</w:t>
      </w:r>
      <w:r>
        <w:rPr>
          <w:rStyle w:val="22"/>
          <w:rFonts w:hint="eastAsia" w:ascii="仿宋" w:hAnsi="仿宋" w:eastAsia="仿宋"/>
          <w:bCs/>
          <w:sz w:val="32"/>
          <w:szCs w:val="32"/>
          <w:lang w:eastAsia="zh-CN"/>
        </w:rPr>
        <w:t>事业运行</w:t>
      </w:r>
      <w:r>
        <w:rPr>
          <w:rStyle w:val="22"/>
          <w:rFonts w:hint="eastAsia" w:ascii="仿宋" w:hAnsi="仿宋" w:eastAsia="仿宋"/>
          <w:bCs/>
          <w:sz w:val="32"/>
          <w:szCs w:val="32"/>
        </w:rPr>
        <w:t>项）</w:t>
      </w:r>
      <w:r>
        <w:rPr>
          <w:rStyle w:val="22"/>
          <w:rFonts w:ascii="仿宋" w:hAnsi="仿宋" w:eastAsia="仿宋"/>
          <w:bCs/>
          <w:sz w:val="32"/>
          <w:szCs w:val="32"/>
        </w:rPr>
        <w:t>:</w:t>
      </w:r>
      <w:r>
        <w:rPr>
          <w:rStyle w:val="22"/>
          <w:rFonts w:ascii="仿宋" w:hAnsi="仿宋" w:eastAsia="仿宋"/>
          <w:b w:val="0"/>
          <w:bCs/>
          <w:sz w:val="32"/>
          <w:szCs w:val="32"/>
        </w:rPr>
        <w:t xml:space="preserve"> </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34.92</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123.96</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val="en-US" w:eastAsia="zh-CN"/>
        </w:rPr>
        <w:t>2023年度事业人员晋升薪级工资</w:t>
      </w:r>
      <w:r>
        <w:rPr>
          <w:rStyle w:val="22"/>
          <w:rFonts w:hint="eastAsia" w:ascii="仿宋" w:hAnsi="仿宋" w:eastAsia="仿宋"/>
          <w:b w:val="0"/>
          <w:bCs/>
          <w:sz w:val="32"/>
          <w:szCs w:val="32"/>
        </w:rPr>
        <w:t>。</w:t>
      </w:r>
    </w:p>
    <w:p>
      <w:pPr>
        <w:spacing w:line="600" w:lineRule="exact"/>
        <w:ind w:firstLine="643" w:firstLineChars="200"/>
        <w:rPr>
          <w:rStyle w:val="22"/>
          <w:rFonts w:hint="eastAsia" w:ascii="仿宋" w:hAnsi="仿宋" w:eastAsia="仿宋"/>
          <w:b w:val="0"/>
          <w:bCs/>
          <w:sz w:val="32"/>
          <w:szCs w:val="32"/>
        </w:rPr>
      </w:pPr>
      <w:r>
        <w:rPr>
          <w:rStyle w:val="22"/>
          <w:rFonts w:ascii="仿宋" w:hAnsi="仿宋" w:eastAsia="仿宋"/>
          <w:bCs/>
          <w:sz w:val="32"/>
          <w:szCs w:val="32"/>
        </w:rPr>
        <w:t>6.</w:t>
      </w:r>
      <w:r>
        <w:rPr>
          <w:rStyle w:val="22"/>
          <w:rFonts w:hint="eastAsia" w:ascii="仿宋" w:hAnsi="仿宋" w:eastAsia="仿宋"/>
          <w:bCs/>
          <w:sz w:val="32"/>
          <w:szCs w:val="32"/>
        </w:rPr>
        <w:t>一般公共服务</w:t>
      </w:r>
      <w:r>
        <w:rPr>
          <w:rStyle w:val="22"/>
          <w:rFonts w:hint="eastAsia" w:ascii="仿宋" w:hAnsi="仿宋" w:eastAsia="仿宋"/>
          <w:bCs/>
          <w:sz w:val="32"/>
          <w:szCs w:val="32"/>
          <w:lang w:eastAsia="zh-CN"/>
        </w:rPr>
        <w:t>支出</w:t>
      </w:r>
      <w:r>
        <w:rPr>
          <w:rStyle w:val="22"/>
          <w:rFonts w:hint="eastAsia" w:ascii="仿宋" w:hAnsi="仿宋" w:eastAsia="仿宋"/>
          <w:bCs/>
          <w:sz w:val="32"/>
          <w:szCs w:val="32"/>
        </w:rPr>
        <w:t>（类）纪检监察事务（款）</w:t>
      </w:r>
      <w:r>
        <w:rPr>
          <w:rStyle w:val="22"/>
          <w:rFonts w:hint="eastAsia" w:ascii="仿宋" w:hAnsi="仿宋" w:eastAsia="仿宋"/>
          <w:bCs/>
          <w:sz w:val="32"/>
          <w:szCs w:val="32"/>
          <w:lang w:eastAsia="zh-CN"/>
        </w:rPr>
        <w:t>其他纪检监察事务支出（项）</w:t>
      </w:r>
      <w:r>
        <w:rPr>
          <w:rStyle w:val="22"/>
          <w:rFonts w:ascii="仿宋" w:hAnsi="仿宋" w:eastAsia="仿宋"/>
          <w:bCs/>
          <w:sz w:val="32"/>
          <w:szCs w:val="32"/>
        </w:rPr>
        <w:t>:</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21.08</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0</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eastAsia="zh-CN"/>
        </w:rPr>
        <w:t>该资金为项目资金，分别为上级专项资金</w:t>
      </w:r>
      <w:r>
        <w:rPr>
          <w:rStyle w:val="22"/>
          <w:rFonts w:hint="eastAsia" w:ascii="仿宋" w:hAnsi="仿宋" w:eastAsia="仿宋"/>
          <w:b w:val="0"/>
          <w:bCs/>
          <w:sz w:val="32"/>
          <w:szCs w:val="32"/>
          <w:lang w:val="en-US" w:eastAsia="zh-CN"/>
        </w:rPr>
        <w:t>14万元，四川省廉洁文化基地VR展厅费用6.3万元，成都大运会期间安保维稳工作经费0.78万元，年初无法预算</w:t>
      </w:r>
      <w:r>
        <w:rPr>
          <w:rStyle w:val="22"/>
          <w:rFonts w:hint="eastAsia" w:ascii="仿宋" w:hAnsi="仿宋" w:eastAsia="仿宋"/>
          <w:b w:val="0"/>
          <w:bCs/>
          <w:sz w:val="32"/>
          <w:szCs w:val="32"/>
        </w:rPr>
        <w:t>。</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b/>
          <w:bCs w:val="0"/>
          <w:sz w:val="32"/>
          <w:szCs w:val="32"/>
          <w:lang w:val="en-US" w:eastAsia="zh-CN"/>
        </w:rPr>
        <w:t>7.</w:t>
      </w:r>
      <w:r>
        <w:rPr>
          <w:rStyle w:val="22"/>
          <w:rFonts w:hint="eastAsia" w:ascii="仿宋" w:hAnsi="仿宋" w:eastAsia="仿宋"/>
          <w:b/>
          <w:bCs w:val="0"/>
          <w:sz w:val="32"/>
          <w:szCs w:val="32"/>
          <w:lang w:eastAsia="zh-CN"/>
        </w:rPr>
        <w:t>社</w:t>
      </w:r>
      <w:r>
        <w:rPr>
          <w:rStyle w:val="22"/>
          <w:rFonts w:hint="eastAsia" w:ascii="仿宋" w:hAnsi="仿宋" w:eastAsia="仿宋"/>
          <w:bCs/>
          <w:sz w:val="32"/>
          <w:szCs w:val="32"/>
          <w:lang w:eastAsia="zh-CN"/>
        </w:rPr>
        <w:t>会保障和就业支出</w:t>
      </w:r>
      <w:r>
        <w:rPr>
          <w:rStyle w:val="22"/>
          <w:rFonts w:hint="eastAsia" w:ascii="仿宋" w:hAnsi="仿宋" w:eastAsia="仿宋"/>
          <w:bCs/>
          <w:sz w:val="32"/>
          <w:szCs w:val="32"/>
        </w:rPr>
        <w:t>（类）</w:t>
      </w:r>
      <w:r>
        <w:rPr>
          <w:rStyle w:val="22"/>
          <w:rFonts w:hint="eastAsia" w:ascii="仿宋" w:hAnsi="仿宋" w:eastAsia="仿宋"/>
          <w:bCs/>
          <w:sz w:val="32"/>
          <w:szCs w:val="32"/>
          <w:lang w:eastAsia="zh-CN"/>
        </w:rPr>
        <w:t>行政事业单位养老支出</w:t>
      </w:r>
      <w:r>
        <w:rPr>
          <w:rStyle w:val="22"/>
          <w:rFonts w:hint="eastAsia" w:ascii="仿宋" w:hAnsi="仿宋" w:eastAsia="仿宋"/>
          <w:bCs/>
          <w:sz w:val="32"/>
          <w:szCs w:val="32"/>
        </w:rPr>
        <w:t>（款）</w:t>
      </w:r>
      <w:r>
        <w:rPr>
          <w:rStyle w:val="22"/>
          <w:rFonts w:hint="eastAsia" w:ascii="仿宋" w:hAnsi="仿宋" w:eastAsia="仿宋"/>
          <w:bCs/>
          <w:sz w:val="32"/>
          <w:szCs w:val="32"/>
          <w:lang w:eastAsia="zh-CN"/>
        </w:rPr>
        <w:t>行政单位离退休（项）</w:t>
      </w:r>
      <w:r>
        <w:rPr>
          <w:rStyle w:val="22"/>
          <w:rFonts w:ascii="仿宋" w:hAnsi="仿宋" w:eastAsia="仿宋"/>
          <w:bCs/>
          <w:sz w:val="32"/>
          <w:szCs w:val="32"/>
        </w:rPr>
        <w:t>:</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8.21</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68.65</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eastAsia="zh-CN"/>
        </w:rPr>
        <w:t>我单位翁大奎同志于</w:t>
      </w:r>
      <w:r>
        <w:rPr>
          <w:rStyle w:val="22"/>
          <w:rFonts w:hint="eastAsia" w:ascii="仿宋" w:hAnsi="仿宋" w:eastAsia="仿宋"/>
          <w:b w:val="0"/>
          <w:bCs/>
          <w:sz w:val="32"/>
          <w:szCs w:val="32"/>
          <w:lang w:val="en-US" w:eastAsia="zh-CN"/>
        </w:rPr>
        <w:t>2023年度死亡，所用资金减少。</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b/>
          <w:bCs w:val="0"/>
          <w:sz w:val="32"/>
          <w:szCs w:val="32"/>
          <w:lang w:val="en-US" w:eastAsia="zh-CN"/>
        </w:rPr>
        <w:t>8.</w:t>
      </w:r>
      <w:r>
        <w:rPr>
          <w:rStyle w:val="22"/>
          <w:rFonts w:hint="eastAsia" w:ascii="仿宋" w:hAnsi="仿宋" w:eastAsia="仿宋"/>
          <w:b/>
          <w:bCs w:val="0"/>
          <w:sz w:val="32"/>
          <w:szCs w:val="32"/>
          <w:lang w:eastAsia="zh-CN"/>
        </w:rPr>
        <w:t>社</w:t>
      </w:r>
      <w:r>
        <w:rPr>
          <w:rStyle w:val="22"/>
          <w:rFonts w:hint="eastAsia" w:ascii="仿宋" w:hAnsi="仿宋" w:eastAsia="仿宋"/>
          <w:bCs/>
          <w:sz w:val="32"/>
          <w:szCs w:val="32"/>
          <w:lang w:eastAsia="zh-CN"/>
        </w:rPr>
        <w:t>会保障和就业支出</w:t>
      </w:r>
      <w:r>
        <w:rPr>
          <w:rStyle w:val="22"/>
          <w:rFonts w:hint="eastAsia" w:ascii="仿宋" w:hAnsi="仿宋" w:eastAsia="仿宋"/>
          <w:bCs/>
          <w:sz w:val="32"/>
          <w:szCs w:val="32"/>
        </w:rPr>
        <w:t>（类）</w:t>
      </w:r>
      <w:r>
        <w:rPr>
          <w:rStyle w:val="22"/>
          <w:rFonts w:hint="eastAsia" w:ascii="仿宋" w:hAnsi="仿宋" w:eastAsia="仿宋"/>
          <w:bCs/>
          <w:sz w:val="32"/>
          <w:szCs w:val="32"/>
          <w:lang w:eastAsia="zh-CN"/>
        </w:rPr>
        <w:t>行政事业单位养老支出</w:t>
      </w:r>
      <w:r>
        <w:rPr>
          <w:rStyle w:val="22"/>
          <w:rFonts w:hint="eastAsia" w:ascii="仿宋" w:hAnsi="仿宋" w:eastAsia="仿宋"/>
          <w:bCs/>
          <w:sz w:val="32"/>
          <w:szCs w:val="32"/>
        </w:rPr>
        <w:t>（款）</w:t>
      </w:r>
      <w:r>
        <w:rPr>
          <w:rStyle w:val="22"/>
          <w:rFonts w:hint="eastAsia" w:ascii="仿宋" w:hAnsi="仿宋" w:eastAsia="仿宋"/>
          <w:bCs/>
          <w:sz w:val="32"/>
          <w:szCs w:val="32"/>
          <w:lang w:eastAsia="zh-CN"/>
        </w:rPr>
        <w:t>机关事业单位养老保险缴费支出（项）</w:t>
      </w:r>
      <w:r>
        <w:rPr>
          <w:rStyle w:val="22"/>
          <w:rFonts w:ascii="仿宋" w:hAnsi="仿宋" w:eastAsia="仿宋"/>
          <w:bCs/>
          <w:sz w:val="32"/>
          <w:szCs w:val="32"/>
        </w:rPr>
        <w:t>:</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143.81</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108.89</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val="en-US" w:eastAsia="zh-CN"/>
        </w:rPr>
        <w:t>2023年养老缴纳基数调高。</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b/>
          <w:bCs w:val="0"/>
          <w:sz w:val="32"/>
          <w:szCs w:val="32"/>
          <w:lang w:val="en-US" w:eastAsia="zh-CN"/>
        </w:rPr>
        <w:t>9.</w:t>
      </w:r>
      <w:r>
        <w:rPr>
          <w:rStyle w:val="22"/>
          <w:rFonts w:hint="eastAsia" w:ascii="仿宋" w:hAnsi="仿宋" w:eastAsia="仿宋"/>
          <w:b/>
          <w:bCs w:val="0"/>
          <w:sz w:val="32"/>
          <w:szCs w:val="32"/>
          <w:lang w:eastAsia="zh-CN"/>
        </w:rPr>
        <w:t>社</w:t>
      </w:r>
      <w:r>
        <w:rPr>
          <w:rStyle w:val="22"/>
          <w:rFonts w:hint="eastAsia" w:ascii="仿宋" w:hAnsi="仿宋" w:eastAsia="仿宋"/>
          <w:bCs/>
          <w:sz w:val="32"/>
          <w:szCs w:val="32"/>
          <w:lang w:eastAsia="zh-CN"/>
        </w:rPr>
        <w:t>会保障和就业支出</w:t>
      </w:r>
      <w:r>
        <w:rPr>
          <w:rStyle w:val="22"/>
          <w:rFonts w:hint="eastAsia" w:ascii="仿宋" w:hAnsi="仿宋" w:eastAsia="仿宋"/>
          <w:bCs/>
          <w:sz w:val="32"/>
          <w:szCs w:val="32"/>
        </w:rPr>
        <w:t>（类）</w:t>
      </w:r>
      <w:r>
        <w:rPr>
          <w:rStyle w:val="22"/>
          <w:rFonts w:hint="eastAsia" w:ascii="仿宋" w:hAnsi="仿宋" w:eastAsia="仿宋"/>
          <w:bCs/>
          <w:sz w:val="32"/>
          <w:szCs w:val="32"/>
          <w:lang w:eastAsia="zh-CN"/>
        </w:rPr>
        <w:t>行政事业单位养老支出</w:t>
      </w:r>
      <w:r>
        <w:rPr>
          <w:rStyle w:val="22"/>
          <w:rFonts w:hint="eastAsia" w:ascii="仿宋" w:hAnsi="仿宋" w:eastAsia="仿宋"/>
          <w:bCs/>
          <w:sz w:val="32"/>
          <w:szCs w:val="32"/>
        </w:rPr>
        <w:t>（款）</w:t>
      </w:r>
      <w:r>
        <w:rPr>
          <w:rStyle w:val="22"/>
          <w:rFonts w:hint="eastAsia" w:ascii="仿宋" w:hAnsi="仿宋" w:eastAsia="仿宋"/>
          <w:bCs/>
          <w:sz w:val="32"/>
          <w:szCs w:val="32"/>
          <w:lang w:eastAsia="zh-CN"/>
        </w:rPr>
        <w:t>机关事业单位职业年金缴费支出（项）：</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105.74</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160.14</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val="en-US" w:eastAsia="zh-CN"/>
        </w:rPr>
        <w:t>2023年人员调动和退休人员较多，职业年金纪实补记转给县机保局。</w:t>
      </w:r>
    </w:p>
    <w:p>
      <w:pPr>
        <w:spacing w:line="600" w:lineRule="exact"/>
        <w:ind w:firstLine="643" w:firstLineChars="200"/>
        <w:rPr>
          <w:rFonts w:hint="eastAsia" w:eastAsia="黑体"/>
          <w:lang w:eastAsia="zh-CN"/>
        </w:rPr>
      </w:pPr>
      <w:r>
        <w:rPr>
          <w:rStyle w:val="22"/>
          <w:rFonts w:hint="eastAsia" w:ascii="仿宋" w:hAnsi="仿宋" w:eastAsia="仿宋"/>
          <w:b/>
          <w:bCs w:val="0"/>
          <w:sz w:val="32"/>
          <w:szCs w:val="32"/>
          <w:lang w:val="en-US" w:eastAsia="zh-CN"/>
        </w:rPr>
        <w:t>10.</w:t>
      </w:r>
      <w:r>
        <w:rPr>
          <w:rStyle w:val="22"/>
          <w:rFonts w:hint="eastAsia" w:ascii="仿宋" w:hAnsi="仿宋" w:eastAsia="仿宋"/>
          <w:b/>
          <w:bCs w:val="0"/>
          <w:sz w:val="32"/>
          <w:szCs w:val="32"/>
          <w:lang w:eastAsia="zh-CN"/>
        </w:rPr>
        <w:t>社会</w:t>
      </w:r>
      <w:r>
        <w:rPr>
          <w:rStyle w:val="22"/>
          <w:rFonts w:hint="eastAsia" w:ascii="仿宋" w:hAnsi="仿宋" w:eastAsia="仿宋"/>
          <w:bCs/>
          <w:sz w:val="32"/>
          <w:szCs w:val="32"/>
          <w:lang w:eastAsia="zh-CN"/>
        </w:rPr>
        <w:t>保障和就业支出</w:t>
      </w:r>
      <w:r>
        <w:rPr>
          <w:rStyle w:val="22"/>
          <w:rFonts w:hint="eastAsia" w:ascii="仿宋" w:hAnsi="仿宋" w:eastAsia="仿宋"/>
          <w:bCs/>
          <w:sz w:val="32"/>
          <w:szCs w:val="32"/>
        </w:rPr>
        <w:t>（类）</w:t>
      </w:r>
      <w:r>
        <w:rPr>
          <w:rStyle w:val="22"/>
          <w:rFonts w:hint="eastAsia" w:ascii="仿宋" w:hAnsi="仿宋" w:eastAsia="仿宋"/>
          <w:bCs/>
          <w:sz w:val="32"/>
          <w:szCs w:val="32"/>
          <w:lang w:eastAsia="zh-CN"/>
        </w:rPr>
        <w:t>行政事业单位养老支出</w:t>
      </w:r>
      <w:r>
        <w:rPr>
          <w:rStyle w:val="22"/>
          <w:rFonts w:hint="eastAsia" w:ascii="仿宋" w:hAnsi="仿宋" w:eastAsia="仿宋"/>
          <w:bCs/>
          <w:sz w:val="32"/>
          <w:szCs w:val="32"/>
        </w:rPr>
        <w:t>（款）</w:t>
      </w:r>
      <w:r>
        <w:rPr>
          <w:rStyle w:val="22"/>
          <w:rFonts w:hint="eastAsia" w:ascii="仿宋" w:hAnsi="仿宋" w:eastAsia="仿宋"/>
          <w:bCs/>
          <w:sz w:val="32"/>
          <w:szCs w:val="32"/>
          <w:lang w:eastAsia="zh-CN"/>
        </w:rPr>
        <w:t>其他行政事业单位养老支出（项）：</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7.92</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173.3</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val="en-US" w:eastAsia="zh-CN"/>
        </w:rPr>
        <w:t>2023年发放退休人员春节慰问。</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b/>
          <w:bCs w:val="0"/>
          <w:sz w:val="32"/>
          <w:szCs w:val="32"/>
          <w:lang w:val="en-US" w:eastAsia="zh-CN"/>
        </w:rPr>
        <w:t>11.</w:t>
      </w:r>
      <w:r>
        <w:rPr>
          <w:rStyle w:val="22"/>
          <w:rFonts w:hint="eastAsia" w:ascii="仿宋" w:hAnsi="仿宋" w:eastAsia="仿宋"/>
          <w:b/>
          <w:bCs w:val="0"/>
          <w:sz w:val="32"/>
          <w:szCs w:val="32"/>
          <w:lang w:eastAsia="zh-CN"/>
        </w:rPr>
        <w:t>社</w:t>
      </w:r>
      <w:r>
        <w:rPr>
          <w:rStyle w:val="22"/>
          <w:rFonts w:hint="eastAsia" w:ascii="仿宋" w:hAnsi="仿宋" w:eastAsia="仿宋"/>
          <w:bCs/>
          <w:sz w:val="32"/>
          <w:szCs w:val="32"/>
          <w:lang w:eastAsia="zh-CN"/>
        </w:rPr>
        <w:t>会保障和就业支出</w:t>
      </w:r>
      <w:r>
        <w:rPr>
          <w:rStyle w:val="22"/>
          <w:rFonts w:hint="eastAsia" w:ascii="仿宋" w:hAnsi="仿宋" w:eastAsia="仿宋"/>
          <w:bCs/>
          <w:sz w:val="32"/>
          <w:szCs w:val="32"/>
        </w:rPr>
        <w:t>（类）</w:t>
      </w:r>
      <w:r>
        <w:rPr>
          <w:rStyle w:val="22"/>
          <w:rFonts w:hint="eastAsia" w:ascii="仿宋" w:hAnsi="仿宋" w:eastAsia="仿宋"/>
          <w:bCs/>
          <w:sz w:val="32"/>
          <w:szCs w:val="32"/>
          <w:lang w:eastAsia="zh-CN"/>
        </w:rPr>
        <w:t>抚恤</w:t>
      </w:r>
      <w:r>
        <w:rPr>
          <w:rStyle w:val="22"/>
          <w:rFonts w:hint="eastAsia" w:ascii="仿宋" w:hAnsi="仿宋" w:eastAsia="仿宋"/>
          <w:bCs/>
          <w:sz w:val="32"/>
          <w:szCs w:val="32"/>
        </w:rPr>
        <w:t>（款）</w:t>
      </w:r>
      <w:r>
        <w:rPr>
          <w:rStyle w:val="22"/>
          <w:rFonts w:hint="eastAsia" w:ascii="仿宋" w:hAnsi="仿宋" w:eastAsia="仿宋"/>
          <w:bCs/>
          <w:sz w:val="32"/>
          <w:szCs w:val="32"/>
          <w:lang w:eastAsia="zh-CN"/>
        </w:rPr>
        <w:t>死亡抚恤（项）：</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32.11</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0</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大于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eastAsia="zh-CN"/>
        </w:rPr>
        <w:t>退休人员</w:t>
      </w:r>
      <w:r>
        <w:rPr>
          <w:rStyle w:val="22"/>
          <w:rFonts w:hint="eastAsia" w:ascii="仿宋" w:hAnsi="仿宋" w:eastAsia="仿宋"/>
          <w:b w:val="0"/>
          <w:bCs/>
          <w:sz w:val="32"/>
          <w:szCs w:val="32"/>
          <w:lang w:val="en-US" w:eastAsia="zh-CN"/>
        </w:rPr>
        <w:t>翁大奎死亡。</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b/>
          <w:bCs w:val="0"/>
          <w:sz w:val="32"/>
          <w:szCs w:val="32"/>
          <w:lang w:val="en-US" w:eastAsia="zh-CN"/>
        </w:rPr>
        <w:t>12.</w:t>
      </w:r>
      <w:r>
        <w:rPr>
          <w:rStyle w:val="22"/>
          <w:rFonts w:hint="eastAsia" w:ascii="仿宋" w:hAnsi="仿宋" w:eastAsia="仿宋"/>
          <w:b/>
          <w:bCs w:val="0"/>
          <w:sz w:val="32"/>
          <w:szCs w:val="32"/>
          <w:lang w:eastAsia="zh-CN"/>
        </w:rPr>
        <w:t>社</w:t>
      </w:r>
      <w:r>
        <w:rPr>
          <w:rStyle w:val="22"/>
          <w:rFonts w:hint="eastAsia" w:ascii="仿宋" w:hAnsi="仿宋" w:eastAsia="仿宋"/>
          <w:bCs/>
          <w:sz w:val="32"/>
          <w:szCs w:val="32"/>
          <w:lang w:eastAsia="zh-CN"/>
        </w:rPr>
        <w:t>会保障和就业支出</w:t>
      </w:r>
      <w:r>
        <w:rPr>
          <w:rStyle w:val="22"/>
          <w:rFonts w:hint="eastAsia" w:ascii="仿宋" w:hAnsi="仿宋" w:eastAsia="仿宋"/>
          <w:bCs/>
          <w:sz w:val="32"/>
          <w:szCs w:val="32"/>
        </w:rPr>
        <w:t>（类）</w:t>
      </w:r>
      <w:r>
        <w:rPr>
          <w:rStyle w:val="22"/>
          <w:rFonts w:hint="eastAsia" w:ascii="仿宋" w:hAnsi="仿宋" w:eastAsia="仿宋"/>
          <w:bCs/>
          <w:sz w:val="32"/>
          <w:szCs w:val="32"/>
          <w:lang w:eastAsia="zh-CN"/>
        </w:rPr>
        <w:t>其他社会保障和就业支出</w:t>
      </w:r>
      <w:r>
        <w:rPr>
          <w:rStyle w:val="22"/>
          <w:rFonts w:hint="eastAsia" w:ascii="仿宋" w:hAnsi="仿宋" w:eastAsia="仿宋"/>
          <w:bCs/>
          <w:sz w:val="32"/>
          <w:szCs w:val="32"/>
        </w:rPr>
        <w:t>（款）</w:t>
      </w:r>
      <w:r>
        <w:rPr>
          <w:rStyle w:val="22"/>
          <w:rFonts w:hint="eastAsia" w:ascii="仿宋" w:hAnsi="仿宋" w:eastAsia="仿宋"/>
          <w:bCs/>
          <w:sz w:val="32"/>
          <w:szCs w:val="32"/>
          <w:lang w:eastAsia="zh-CN"/>
        </w:rPr>
        <w:t>其他社会保障和就业支出（项）：</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1.84</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42.79</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小于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eastAsia="zh-CN"/>
        </w:rPr>
        <w:t>人员变动</w:t>
      </w:r>
      <w:r>
        <w:rPr>
          <w:rStyle w:val="22"/>
          <w:rFonts w:hint="eastAsia" w:ascii="仿宋" w:hAnsi="仿宋" w:eastAsia="仿宋"/>
          <w:b w:val="0"/>
          <w:bCs/>
          <w:sz w:val="32"/>
          <w:szCs w:val="32"/>
          <w:lang w:val="en-US" w:eastAsia="zh-CN"/>
        </w:rPr>
        <w:t>。</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b/>
          <w:bCs w:val="0"/>
          <w:sz w:val="32"/>
          <w:szCs w:val="32"/>
          <w:lang w:val="en-US" w:eastAsia="zh-CN"/>
        </w:rPr>
        <w:t>13.</w:t>
      </w:r>
      <w:r>
        <w:rPr>
          <w:rFonts w:hint="eastAsia" w:ascii="仿宋" w:hAnsi="仿宋" w:eastAsia="仿宋"/>
          <w:b/>
          <w:bCs w:val="0"/>
          <w:color w:val="000000"/>
          <w:sz w:val="32"/>
        </w:rPr>
        <w:t>卫</w:t>
      </w:r>
      <w:r>
        <w:rPr>
          <w:rFonts w:hint="eastAsia" w:ascii="仿宋" w:hAnsi="仿宋" w:eastAsia="仿宋"/>
          <w:b/>
          <w:color w:val="000000"/>
          <w:sz w:val="32"/>
        </w:rPr>
        <w:t>生健康</w:t>
      </w:r>
      <w:r>
        <w:rPr>
          <w:rFonts w:hint="eastAsia" w:ascii="仿宋" w:hAnsi="仿宋" w:eastAsia="仿宋"/>
          <w:b/>
          <w:color w:val="000000"/>
          <w:sz w:val="32"/>
          <w:lang w:eastAsia="zh-CN"/>
        </w:rPr>
        <w:t>支出</w:t>
      </w:r>
      <w:r>
        <w:rPr>
          <w:rStyle w:val="22"/>
          <w:rFonts w:hint="eastAsia" w:ascii="仿宋" w:hAnsi="仿宋" w:eastAsia="仿宋"/>
          <w:color w:val="000000"/>
          <w:sz w:val="32"/>
        </w:rPr>
        <w:t>（类）行政事业单位医疗（款）行政单位医疗（项）</w:t>
      </w:r>
      <w:r>
        <w:rPr>
          <w:rStyle w:val="22"/>
          <w:rFonts w:hint="eastAsia" w:ascii="仿宋" w:hAnsi="仿宋" w:eastAsia="仿宋"/>
          <w:bCs/>
          <w:sz w:val="32"/>
          <w:szCs w:val="32"/>
          <w:lang w:eastAsia="zh-CN"/>
        </w:rPr>
        <w:t>：</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62.23</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99.73</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小于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eastAsia="zh-CN"/>
        </w:rPr>
        <w:t>人员变动</w:t>
      </w:r>
      <w:r>
        <w:rPr>
          <w:rStyle w:val="22"/>
          <w:rFonts w:hint="eastAsia" w:ascii="仿宋" w:hAnsi="仿宋" w:eastAsia="仿宋"/>
          <w:b w:val="0"/>
          <w:bCs/>
          <w:sz w:val="32"/>
          <w:szCs w:val="32"/>
          <w:lang w:val="en-US" w:eastAsia="zh-CN"/>
        </w:rPr>
        <w:t>。</w:t>
      </w:r>
    </w:p>
    <w:p>
      <w:pPr>
        <w:spacing w:line="600" w:lineRule="exact"/>
        <w:ind w:firstLine="643" w:firstLineChars="200"/>
        <w:rPr>
          <w:rStyle w:val="22"/>
          <w:rFonts w:hint="eastAsia" w:ascii="仿宋" w:hAnsi="仿宋" w:eastAsia="仿宋"/>
          <w:b w:val="0"/>
          <w:bCs/>
          <w:sz w:val="32"/>
          <w:szCs w:val="32"/>
          <w:lang w:val="en-US" w:eastAsia="zh-CN"/>
        </w:rPr>
      </w:pPr>
      <w:r>
        <w:rPr>
          <w:rStyle w:val="22"/>
          <w:rFonts w:hint="eastAsia" w:ascii="仿宋" w:hAnsi="仿宋" w:eastAsia="仿宋"/>
          <w:sz w:val="32"/>
          <w:lang w:val="en-US" w:eastAsia="zh-CN"/>
        </w:rPr>
        <w:t>14</w:t>
      </w:r>
      <w:r>
        <w:rPr>
          <w:rStyle w:val="22"/>
          <w:rFonts w:hint="eastAsia" w:ascii="仿宋" w:hAnsi="仿宋" w:eastAsia="仿宋"/>
          <w:sz w:val="32"/>
        </w:rPr>
        <w:t>.</w:t>
      </w:r>
      <w:r>
        <w:rPr>
          <w:rFonts w:hint="eastAsia" w:ascii="仿宋" w:hAnsi="仿宋" w:eastAsia="仿宋"/>
          <w:b/>
          <w:color w:val="000000"/>
          <w:sz w:val="32"/>
        </w:rPr>
        <w:t>卫生健康</w:t>
      </w:r>
      <w:r>
        <w:rPr>
          <w:rStyle w:val="22"/>
          <w:rFonts w:hint="eastAsia" w:ascii="仿宋" w:hAnsi="仿宋" w:eastAsia="仿宋"/>
          <w:color w:val="000000"/>
          <w:sz w:val="32"/>
        </w:rPr>
        <w:t>（类）行政事业单位医疗（款）公务员医疗补助（项）</w:t>
      </w:r>
      <w:r>
        <w:rPr>
          <w:rStyle w:val="22"/>
          <w:rFonts w:hint="eastAsia" w:ascii="仿宋" w:hAnsi="仿宋" w:eastAsia="仿宋"/>
          <w:color w:val="000000"/>
          <w:sz w:val="32"/>
          <w:lang w:eastAsia="zh-CN"/>
        </w:rPr>
        <w:t>：</w:t>
      </w:r>
      <w:r>
        <w:rPr>
          <w:rStyle w:val="22"/>
          <w:rFonts w:hint="eastAsia" w:ascii="仿宋" w:hAnsi="仿宋" w:eastAsia="仿宋"/>
          <w:b w:val="0"/>
          <w:bCs/>
          <w:sz w:val="32"/>
          <w:szCs w:val="32"/>
        </w:rPr>
        <w:t>支出决算为</w:t>
      </w:r>
      <w:r>
        <w:rPr>
          <w:rStyle w:val="22"/>
          <w:rFonts w:hint="eastAsia" w:ascii="仿宋" w:hAnsi="仿宋" w:eastAsia="仿宋"/>
          <w:b w:val="0"/>
          <w:bCs/>
          <w:sz w:val="32"/>
          <w:szCs w:val="32"/>
          <w:lang w:val="en-US" w:eastAsia="zh-CN"/>
        </w:rPr>
        <w:t>12.94</w:t>
      </w:r>
      <w:r>
        <w:rPr>
          <w:rStyle w:val="22"/>
          <w:rFonts w:hint="eastAsia" w:ascii="仿宋" w:hAnsi="仿宋" w:eastAsia="仿宋"/>
          <w:b w:val="0"/>
          <w:bCs/>
          <w:sz w:val="32"/>
          <w:szCs w:val="32"/>
        </w:rPr>
        <w:t>万元，完成预算</w:t>
      </w:r>
      <w:r>
        <w:rPr>
          <w:rStyle w:val="22"/>
          <w:rFonts w:hint="eastAsia" w:ascii="仿宋" w:hAnsi="仿宋" w:eastAsia="仿宋"/>
          <w:b w:val="0"/>
          <w:bCs/>
          <w:sz w:val="32"/>
          <w:szCs w:val="32"/>
          <w:lang w:val="en-US" w:eastAsia="zh-CN"/>
        </w:rPr>
        <w:t>76.75</w:t>
      </w:r>
      <w:r>
        <w:rPr>
          <w:rStyle w:val="22"/>
          <w:rFonts w:ascii="仿宋" w:hAnsi="仿宋" w:eastAsia="仿宋"/>
          <w:b w:val="0"/>
          <w:bCs/>
          <w:sz w:val="32"/>
          <w:szCs w:val="32"/>
        </w:rPr>
        <w:t>%</w:t>
      </w:r>
      <w:r>
        <w:rPr>
          <w:rStyle w:val="22"/>
          <w:rFonts w:hint="eastAsia" w:ascii="仿宋" w:hAnsi="仿宋" w:eastAsia="仿宋"/>
          <w:b w:val="0"/>
          <w:bCs/>
          <w:sz w:val="32"/>
          <w:szCs w:val="32"/>
        </w:rPr>
        <w:t>，决算数</w:t>
      </w:r>
      <w:r>
        <w:rPr>
          <w:rStyle w:val="22"/>
          <w:rFonts w:hint="eastAsia" w:ascii="仿宋" w:hAnsi="仿宋" w:eastAsia="仿宋"/>
          <w:b w:val="0"/>
          <w:bCs/>
          <w:sz w:val="32"/>
          <w:szCs w:val="32"/>
          <w:lang w:eastAsia="zh-CN"/>
        </w:rPr>
        <w:t>小于</w:t>
      </w:r>
      <w:r>
        <w:rPr>
          <w:rStyle w:val="22"/>
          <w:rFonts w:hint="eastAsia" w:ascii="仿宋" w:hAnsi="仿宋" w:eastAsia="仿宋"/>
          <w:b w:val="0"/>
          <w:bCs/>
          <w:sz w:val="32"/>
          <w:szCs w:val="32"/>
        </w:rPr>
        <w:t>预算数的主要原因是</w:t>
      </w:r>
      <w:r>
        <w:rPr>
          <w:rStyle w:val="22"/>
          <w:rFonts w:hint="eastAsia" w:ascii="仿宋" w:hAnsi="仿宋" w:eastAsia="仿宋"/>
          <w:b w:val="0"/>
          <w:bCs/>
          <w:sz w:val="32"/>
          <w:szCs w:val="32"/>
          <w:lang w:eastAsia="zh-CN"/>
        </w:rPr>
        <w:t>人员变动</w:t>
      </w:r>
      <w:r>
        <w:rPr>
          <w:rStyle w:val="22"/>
          <w:rFonts w:hint="eastAsia" w:ascii="仿宋" w:hAnsi="仿宋" w:eastAsia="仿宋"/>
          <w:b w:val="0"/>
          <w:bCs/>
          <w:sz w:val="32"/>
          <w:szCs w:val="32"/>
          <w:lang w:val="en-US" w:eastAsia="zh-CN"/>
        </w:rPr>
        <w:t>。</w:t>
      </w:r>
    </w:p>
    <w:p>
      <w:pPr>
        <w:spacing w:line="560" w:lineRule="exact"/>
        <w:ind w:firstLine="643" w:firstLineChars="200"/>
        <w:rPr>
          <w:rStyle w:val="22"/>
          <w:rFonts w:hint="eastAsia" w:ascii="仿宋" w:hAnsi="仿宋" w:eastAsia="仿宋"/>
          <w:b w:val="0"/>
          <w:sz w:val="32"/>
        </w:rPr>
      </w:pPr>
      <w:r>
        <w:rPr>
          <w:rStyle w:val="22"/>
          <w:rFonts w:hint="eastAsia" w:ascii="仿宋" w:hAnsi="仿宋" w:eastAsia="仿宋"/>
          <w:sz w:val="32"/>
        </w:rPr>
        <w:t>1</w:t>
      </w:r>
      <w:r>
        <w:rPr>
          <w:rStyle w:val="22"/>
          <w:rFonts w:hint="eastAsia" w:ascii="仿宋" w:hAnsi="仿宋" w:eastAsia="仿宋"/>
          <w:sz w:val="32"/>
          <w:lang w:val="en-US" w:eastAsia="zh-CN"/>
        </w:rPr>
        <w:t>5</w:t>
      </w:r>
      <w:r>
        <w:rPr>
          <w:rStyle w:val="22"/>
          <w:rFonts w:hint="eastAsia" w:ascii="仿宋" w:hAnsi="仿宋" w:eastAsia="仿宋"/>
          <w:sz w:val="32"/>
        </w:rPr>
        <w:t>.</w:t>
      </w:r>
      <w:r>
        <w:rPr>
          <w:rFonts w:hint="eastAsia" w:ascii="仿宋" w:hAnsi="仿宋" w:eastAsia="仿宋"/>
          <w:b/>
          <w:color w:val="000000"/>
          <w:sz w:val="32"/>
        </w:rPr>
        <w:t>农林水</w:t>
      </w:r>
      <w:r>
        <w:rPr>
          <w:rFonts w:hint="eastAsia" w:ascii="仿宋" w:hAnsi="仿宋" w:eastAsia="仿宋"/>
          <w:b/>
          <w:color w:val="000000"/>
          <w:sz w:val="32"/>
          <w:lang w:eastAsia="zh-CN"/>
        </w:rPr>
        <w:t>支出</w:t>
      </w:r>
      <w:r>
        <w:rPr>
          <w:rStyle w:val="22"/>
          <w:rFonts w:hint="eastAsia" w:ascii="仿宋" w:hAnsi="仿宋" w:eastAsia="仿宋"/>
          <w:color w:val="000000"/>
          <w:sz w:val="32"/>
        </w:rPr>
        <w:t>（类）巩固脱贫衔接乡村振兴（款）其他巩固脱贫衔接乡村振兴（项）</w:t>
      </w:r>
      <w:r>
        <w:rPr>
          <w:rStyle w:val="22"/>
          <w:rFonts w:hint="eastAsia" w:ascii="仿宋" w:hAnsi="仿宋" w:eastAsia="仿宋"/>
          <w:sz w:val="32"/>
        </w:rPr>
        <w:t>:</w:t>
      </w:r>
      <w:r>
        <w:rPr>
          <w:rStyle w:val="22"/>
          <w:rFonts w:hint="eastAsia" w:ascii="仿宋" w:hAnsi="仿宋" w:eastAsia="仿宋"/>
          <w:b w:val="0"/>
          <w:sz w:val="32"/>
        </w:rPr>
        <w:t>支出决算为</w:t>
      </w:r>
      <w:r>
        <w:rPr>
          <w:rStyle w:val="22"/>
          <w:rFonts w:hint="eastAsia" w:ascii="仿宋" w:hAnsi="仿宋" w:eastAsia="仿宋"/>
          <w:b w:val="0"/>
          <w:sz w:val="32"/>
          <w:lang w:val="en-US" w:eastAsia="zh-CN"/>
        </w:rPr>
        <w:t>1.46</w:t>
      </w:r>
      <w:r>
        <w:rPr>
          <w:rStyle w:val="22"/>
          <w:rFonts w:hint="eastAsia" w:ascii="仿宋" w:hAnsi="仿宋" w:eastAsia="仿宋"/>
          <w:b w:val="0"/>
          <w:sz w:val="32"/>
        </w:rPr>
        <w:t>万元，完成预算0%，决算数大于预算数的主要原因是本单位新增驻村第一书记工作经费，年初无法预算。</w:t>
      </w:r>
    </w:p>
    <w:p>
      <w:pPr>
        <w:spacing w:line="560" w:lineRule="exact"/>
        <w:ind w:firstLine="643" w:firstLineChars="200"/>
        <w:rPr>
          <w:rFonts w:hint="default" w:eastAsia="仿宋"/>
          <w:lang w:val="en-US" w:eastAsia="zh-CN"/>
        </w:rPr>
      </w:pPr>
      <w:r>
        <w:rPr>
          <w:rStyle w:val="22"/>
          <w:rFonts w:hint="eastAsia" w:ascii="仿宋" w:hAnsi="仿宋" w:eastAsia="仿宋" w:cs="Times New Roman"/>
          <w:kern w:val="2"/>
          <w:sz w:val="32"/>
          <w:szCs w:val="22"/>
          <w:lang w:val="en-US" w:eastAsia="zh-CN" w:bidi="ar-SA"/>
        </w:rPr>
        <w:t>16.住房保障支出（类）住房改革（款）住房公积金（项）</w:t>
      </w:r>
      <w:r>
        <w:rPr>
          <w:rStyle w:val="22"/>
          <w:rFonts w:hint="eastAsia" w:ascii="仿宋" w:hAnsi="仿宋" w:eastAsia="仿宋"/>
          <w:sz w:val="32"/>
        </w:rPr>
        <w:t>:</w:t>
      </w:r>
      <w:r>
        <w:rPr>
          <w:rStyle w:val="22"/>
          <w:rFonts w:hint="eastAsia" w:ascii="仿宋" w:hAnsi="仿宋" w:eastAsia="仿宋"/>
          <w:b w:val="0"/>
          <w:sz w:val="32"/>
        </w:rPr>
        <w:t>支出决算为</w:t>
      </w:r>
      <w:r>
        <w:rPr>
          <w:rStyle w:val="22"/>
          <w:rFonts w:hint="eastAsia" w:ascii="仿宋" w:hAnsi="仿宋" w:eastAsia="仿宋"/>
          <w:b w:val="0"/>
          <w:sz w:val="32"/>
          <w:lang w:val="en-US" w:eastAsia="zh-CN"/>
        </w:rPr>
        <w:t>103.52</w:t>
      </w:r>
      <w:r>
        <w:rPr>
          <w:rStyle w:val="22"/>
          <w:rFonts w:hint="eastAsia" w:ascii="仿宋" w:hAnsi="仿宋" w:eastAsia="仿宋"/>
          <w:b w:val="0"/>
          <w:sz w:val="32"/>
        </w:rPr>
        <w:t>万元，完成预算</w:t>
      </w:r>
      <w:r>
        <w:rPr>
          <w:rStyle w:val="22"/>
          <w:rFonts w:hint="eastAsia" w:ascii="仿宋" w:hAnsi="仿宋" w:eastAsia="仿宋"/>
          <w:b w:val="0"/>
          <w:sz w:val="32"/>
          <w:lang w:val="en-US" w:eastAsia="zh-CN"/>
        </w:rPr>
        <w:t>97.81</w:t>
      </w:r>
      <w:r>
        <w:rPr>
          <w:rStyle w:val="22"/>
          <w:rFonts w:hint="eastAsia" w:ascii="仿宋" w:hAnsi="仿宋" w:eastAsia="仿宋"/>
          <w:b w:val="0"/>
          <w:sz w:val="32"/>
        </w:rPr>
        <w:t>%，决算数小于预算数的主要原因是本年度人员变动。</w:t>
      </w:r>
    </w:p>
    <w:p>
      <w:pPr>
        <w:rPr>
          <w:rFonts w:hint="eastAsia"/>
          <w:lang w:val="en-US" w:eastAsia="zh-CN"/>
        </w:rPr>
      </w:pPr>
    </w:p>
    <w:p>
      <w:pPr>
        <w:pStyle w:val="24"/>
        <w:rPr>
          <w:rFonts w:hint="default" w:eastAsia="仿宋"/>
          <w:lang w:val="en-US" w:eastAsia="zh-CN"/>
        </w:rPr>
      </w:pPr>
    </w:p>
    <w:p>
      <w:pPr>
        <w:spacing w:line="600" w:lineRule="exact"/>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34"/>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rPr>
        <w:t>般公共预算财政拨款基本支出决算情况说明</w:t>
      </w:r>
      <w:bookmarkEnd w:id="34"/>
      <w:bookmarkEnd w:id="35"/>
      <w:r>
        <w:rPr>
          <w:rStyle w:val="34"/>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1538.52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1330.85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207.67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34"/>
          <w:rFonts w:ascii="黑体" w:hAnsi="黑体" w:eastAsia="黑体"/>
          <w:b w:val="0"/>
        </w:rPr>
      </w:pPr>
      <w:bookmarkStart w:id="36" w:name="_Toc15396609"/>
      <w:bookmarkStart w:id="37" w:name="_Toc15377215"/>
      <w:r>
        <w:rPr>
          <w:rFonts w:hint="eastAsia" w:ascii="黑体" w:eastAsia="黑体"/>
          <w:sz w:val="32"/>
          <w:szCs w:val="32"/>
        </w:rPr>
        <w:t>七、</w:t>
      </w:r>
      <w:r>
        <w:rPr>
          <w:rStyle w:val="34"/>
          <w:rFonts w:hint="eastAsia" w:ascii="黑体" w:hAnsi="黑体" w:eastAsia="黑体"/>
          <w:b w:val="0"/>
        </w:rPr>
        <w:t>财政拨款</w:t>
      </w:r>
      <w:r>
        <w:rPr>
          <w:rStyle w:val="34"/>
          <w:rFonts w:hint="eastAsia" w:ascii="黑体" w:hAnsi="黑体" w:eastAsia="黑体"/>
        </w:rPr>
        <w:t>“</w:t>
      </w:r>
      <w:r>
        <w:rPr>
          <w:rStyle w:val="34"/>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9.11</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0.65</w:t>
      </w:r>
      <w:r>
        <w:rPr>
          <w:rFonts w:hint="eastAsia" w:ascii="仿宋" w:hAnsi="仿宋" w:eastAsia="仿宋"/>
          <w:sz w:val="32"/>
          <w:szCs w:val="32"/>
        </w:rPr>
        <w:t>万元，下降</w:t>
      </w:r>
      <w:r>
        <w:rPr>
          <w:rFonts w:hint="eastAsia" w:ascii="仿宋" w:hAnsi="仿宋" w:eastAsia="仿宋"/>
          <w:sz w:val="32"/>
          <w:szCs w:val="32"/>
          <w:lang w:val="en-US" w:eastAsia="zh-CN"/>
        </w:rPr>
        <w:t>6.69</w:t>
      </w:r>
      <w:r>
        <w:rPr>
          <w:rFonts w:hint="eastAsia" w:ascii="仿宋" w:hAnsi="仿宋" w:eastAsia="仿宋"/>
          <w:sz w:val="32"/>
          <w:szCs w:val="32"/>
        </w:rPr>
        <w:t>%。决算数小于预算数（或与预算数持平）的主要原因是严格执行中央八项规定及其实施细则，反对奢侈浪费有关规定，牢固树立“过紧日子”的思想，厉行节约，节省开支。</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7.97</w:t>
      </w:r>
      <w:r>
        <w:rPr>
          <w:rFonts w:hint="eastAsia" w:ascii="仿宋" w:hAnsi="仿宋" w:eastAsia="仿宋"/>
          <w:sz w:val="32"/>
          <w:szCs w:val="32"/>
        </w:rPr>
        <w:t>万元，占</w:t>
      </w:r>
      <w:r>
        <w:rPr>
          <w:sz w:val="32"/>
          <w:szCs w:val="32"/>
        </w:rPr>
        <w:t>87.54</w:t>
      </w:r>
      <w:r>
        <w:rPr>
          <w:rFonts w:ascii="仿宋" w:hAnsi="仿宋" w:eastAsia="仿宋"/>
          <w:sz w:val="32"/>
          <w:szCs w:val="32"/>
        </w:rPr>
        <w:t>%</w:t>
      </w:r>
      <w:r>
        <w:rPr>
          <w:rFonts w:hint="eastAsia" w:ascii="仿宋" w:hAnsi="仿宋" w:eastAsia="仿宋"/>
          <w:sz w:val="32"/>
          <w:szCs w:val="32"/>
        </w:rPr>
        <w:t>；公务接待费支出决算</w:t>
      </w:r>
      <w:r>
        <w:rPr>
          <w:sz w:val="32"/>
          <w:szCs w:val="32"/>
        </w:rPr>
        <w:t>1.13</w:t>
      </w:r>
      <w:r>
        <w:rPr>
          <w:rFonts w:hint="eastAsia" w:ascii="仿宋" w:hAnsi="仿宋" w:eastAsia="仿宋"/>
          <w:sz w:val="32"/>
          <w:szCs w:val="32"/>
        </w:rPr>
        <w:t>万元，占</w:t>
      </w:r>
      <w:r>
        <w:rPr>
          <w:sz w:val="32"/>
          <w:szCs w:val="32"/>
        </w:rPr>
        <w:t>12.4</w:t>
      </w:r>
      <w:r>
        <w:rPr>
          <w:rFonts w:hint="eastAsia"/>
          <w:sz w:val="32"/>
          <w:szCs w:val="32"/>
          <w:lang w:val="en-US" w:eastAsia="zh-CN"/>
        </w:rPr>
        <w:t>6</w:t>
      </w:r>
      <w:r>
        <w:rPr>
          <w:rFonts w:ascii="仿宋" w:hAnsi="仿宋" w:eastAsia="仿宋"/>
          <w:sz w:val="32"/>
          <w:szCs w:val="32"/>
        </w:rPr>
        <w:t>%</w:t>
      </w:r>
      <w:r>
        <w:rPr>
          <w:rFonts w:hint="eastAsia" w:ascii="仿宋" w:hAnsi="仿宋" w:eastAsia="仿宋"/>
          <w:sz w:val="32"/>
          <w:szCs w:val="32"/>
        </w:rPr>
        <w:t>。具体情况如下：</w:t>
      </w:r>
    </w:p>
    <w:p>
      <w:pPr>
        <w:pStyle w:val="24"/>
        <w:spacing w:before="0" w:after="0" w:line="240" w:lineRule="auto"/>
      </w:pPr>
      <w:r>
        <w:drawing>
          <wp:inline distT="0" distB="0" distL="114300" distR="114300">
            <wp:extent cx="4572000" cy="2743200"/>
            <wp:effectExtent l="4445" t="4445" r="14605" b="1460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22"/>
          <w:rFonts w:hint="eastAsia" w:ascii="仿宋" w:hAnsi="仿宋" w:eastAsia="仿宋"/>
          <w:b w:val="0"/>
          <w:bCs/>
          <w:sz w:val="32"/>
          <w:szCs w:val="32"/>
        </w:rPr>
        <w:t>完成预算</w:t>
      </w:r>
      <w:r>
        <w:rPr>
          <w:sz w:val="32"/>
          <w:szCs w:val="32"/>
        </w:rPr>
        <w:t>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7.97</w:t>
      </w:r>
      <w:r>
        <w:rPr>
          <w:rFonts w:hint="eastAsia" w:ascii="仿宋_GB2312" w:eastAsia="仿宋_GB2312"/>
          <w:sz w:val="32"/>
          <w:szCs w:val="32"/>
        </w:rPr>
        <w:t>万元,</w:t>
      </w:r>
      <w:r>
        <w:rPr>
          <w:rStyle w:val="22"/>
          <w:rFonts w:hint="eastAsia" w:ascii="仿宋" w:hAnsi="仿宋" w:eastAsia="仿宋"/>
          <w:b w:val="0"/>
          <w:bCs/>
          <w:sz w:val="32"/>
          <w:szCs w:val="32"/>
        </w:rPr>
        <w:t>完成预算</w:t>
      </w:r>
      <w:r>
        <w:rPr>
          <w:sz w:val="32"/>
          <w:szCs w:val="32"/>
        </w:rPr>
        <w:t>100</w:t>
      </w:r>
      <w:r>
        <w:rPr>
          <w:rStyle w:val="22"/>
          <w:rFonts w:ascii="仿宋" w:hAnsi="仿宋" w:eastAsia="仿宋"/>
          <w:b w:val="0"/>
          <w:bCs/>
          <w:sz w:val="32"/>
          <w:szCs w:val="32"/>
        </w:rPr>
        <w:t>%</w:t>
      </w:r>
      <w:r>
        <w:rPr>
          <w:rStyle w:val="22"/>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0.37</w:t>
      </w:r>
      <w:r>
        <w:rPr>
          <w:rFonts w:hint="eastAsia" w:ascii="仿宋_GB2312" w:eastAsia="仿宋_GB2312"/>
          <w:sz w:val="32"/>
          <w:szCs w:val="32"/>
        </w:rPr>
        <w:t>万元，下降</w:t>
      </w:r>
      <w:r>
        <w:rPr>
          <w:rFonts w:hint="eastAsia" w:ascii="仿宋_GB2312" w:eastAsia="仿宋_GB2312"/>
          <w:sz w:val="32"/>
          <w:szCs w:val="32"/>
          <w:lang w:val="en-US" w:eastAsia="zh-CN"/>
        </w:rPr>
        <w:t>4.49</w:t>
      </w:r>
      <w:r>
        <w:rPr>
          <w:rFonts w:ascii="仿宋_GB2312" w:eastAsia="仿宋_GB2312"/>
          <w:sz w:val="32"/>
          <w:szCs w:val="32"/>
        </w:rPr>
        <w:t>%</w:t>
      </w:r>
      <w:r>
        <w:rPr>
          <w:rFonts w:hint="eastAsia" w:ascii="仿宋_GB2312" w:eastAsia="仿宋_GB2312"/>
          <w:sz w:val="32"/>
          <w:szCs w:val="32"/>
        </w:rPr>
        <w:t>。主要原因是厉行节约，节省开支。</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，其他车型</w:t>
      </w:r>
      <w:r>
        <w:rPr>
          <w:rFonts w:hint="eastAsia" w:ascii="仿宋_GB2312" w:eastAsia="仿宋_GB2312"/>
          <w:sz w:val="32"/>
          <w:szCs w:val="32"/>
          <w:lang w:val="en-US" w:eastAsia="zh-CN"/>
        </w:rPr>
        <w:t>1辆</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7.97</w:t>
      </w:r>
      <w:r>
        <w:rPr>
          <w:rFonts w:hint="eastAsia" w:ascii="仿宋_GB2312" w:eastAsia="仿宋_GB2312"/>
          <w:sz w:val="32"/>
          <w:szCs w:val="32"/>
        </w:rPr>
        <w:t>万元。主要用于</w:t>
      </w:r>
      <w:r>
        <w:rPr>
          <w:rFonts w:hint="eastAsia" w:ascii="仿宋_GB2312" w:eastAsia="仿宋_GB2312"/>
          <w:sz w:val="32"/>
          <w:szCs w:val="32"/>
          <w:lang w:eastAsia="zh-CN"/>
        </w:rPr>
        <w:t>巡视巡察办案</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1.13</w:t>
      </w:r>
      <w:r>
        <w:rPr>
          <w:rFonts w:hint="eastAsia" w:ascii="仿宋_GB2312" w:eastAsia="仿宋_GB2312"/>
          <w:sz w:val="32"/>
          <w:szCs w:val="32"/>
        </w:rPr>
        <w:t>万元，</w:t>
      </w:r>
      <w:r>
        <w:rPr>
          <w:rStyle w:val="22"/>
          <w:rFonts w:hint="eastAsia" w:ascii="仿宋" w:hAnsi="仿宋" w:eastAsia="仿宋"/>
          <w:b w:val="0"/>
          <w:bCs/>
          <w:sz w:val="32"/>
          <w:szCs w:val="32"/>
        </w:rPr>
        <w:t>完成预算</w:t>
      </w:r>
      <w:r>
        <w:rPr>
          <w:sz w:val="32"/>
          <w:szCs w:val="32"/>
        </w:rPr>
        <w:t>100%</w:t>
      </w:r>
      <w:r>
        <w:rPr>
          <w:rStyle w:val="22"/>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0.27</w:t>
      </w:r>
      <w:r>
        <w:rPr>
          <w:rFonts w:hint="eastAsia" w:ascii="仿宋_GB2312" w:eastAsia="仿宋_GB2312"/>
          <w:sz w:val="32"/>
          <w:szCs w:val="32"/>
        </w:rPr>
        <w:t>万元，下降</w:t>
      </w:r>
      <w:r>
        <w:rPr>
          <w:rFonts w:hint="eastAsia" w:ascii="仿宋_GB2312" w:eastAsia="仿宋_GB2312"/>
          <w:sz w:val="32"/>
          <w:szCs w:val="32"/>
          <w:lang w:val="en-US" w:eastAsia="zh-CN"/>
        </w:rPr>
        <w:t>19.66</w:t>
      </w:r>
      <w:r>
        <w:rPr>
          <w:rFonts w:ascii="仿宋_GB2312" w:eastAsia="仿宋_GB2312"/>
          <w:sz w:val="32"/>
          <w:szCs w:val="32"/>
        </w:rPr>
        <w:t>%</w:t>
      </w:r>
      <w:r>
        <w:rPr>
          <w:rFonts w:hint="eastAsia" w:ascii="仿宋_GB2312" w:eastAsia="仿宋_GB2312"/>
          <w:sz w:val="32"/>
          <w:szCs w:val="32"/>
        </w:rPr>
        <w:t>。主要原因是厉行节约，节省开支。其中：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sz w:val="32"/>
          <w:szCs w:val="32"/>
        </w:rPr>
        <w:t>1.13</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13</w:t>
      </w:r>
      <w:r>
        <w:rPr>
          <w:rFonts w:hint="eastAsia" w:ascii="仿宋_GB2312" w:eastAsia="仿宋_GB2312"/>
          <w:sz w:val="32"/>
          <w:szCs w:val="32"/>
        </w:rPr>
        <w:t>批次，</w:t>
      </w:r>
      <w:r>
        <w:rPr>
          <w:rFonts w:hint="eastAsia" w:ascii="仿宋_GB2312" w:eastAsia="仿宋_GB2312"/>
          <w:sz w:val="32"/>
          <w:szCs w:val="32"/>
          <w:lang w:val="en-US" w:eastAsia="zh-CN"/>
        </w:rPr>
        <w:t>121</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1.13</w:t>
      </w:r>
      <w:r>
        <w:rPr>
          <w:rFonts w:hint="eastAsia" w:ascii="仿宋_GB2312" w:eastAsia="仿宋_GB2312"/>
          <w:sz w:val="32"/>
          <w:szCs w:val="32"/>
        </w:rPr>
        <w:t>万元，具体内容包括：</w:t>
      </w:r>
      <w:r>
        <w:rPr>
          <w:rFonts w:hint="eastAsia" w:ascii="仿宋_GB2312" w:eastAsia="仿宋_GB2312"/>
          <w:sz w:val="32"/>
          <w:szCs w:val="32"/>
          <w:lang w:eastAsia="zh-CN"/>
        </w:rPr>
        <w:t>接待</w:t>
      </w:r>
      <w:r>
        <w:rPr>
          <w:rFonts w:hint="eastAsia" w:ascii="仿宋_GB2312" w:eastAsia="仿宋_GB2312"/>
          <w:sz w:val="32"/>
          <w:szCs w:val="32"/>
        </w:rPr>
        <w:t>市纪委来宝开展转树作抓第二轮集中督查</w:t>
      </w:r>
      <w:r>
        <w:rPr>
          <w:rFonts w:hint="eastAsia" w:ascii="仿宋_GB2312" w:eastAsia="仿宋_GB2312"/>
          <w:sz w:val="32"/>
          <w:szCs w:val="32"/>
          <w:lang w:eastAsia="zh-CN"/>
        </w:rPr>
        <w:t>、</w:t>
      </w:r>
      <w:r>
        <w:rPr>
          <w:rFonts w:hint="eastAsia" w:ascii="仿宋_GB2312" w:eastAsia="仿宋_GB2312"/>
          <w:sz w:val="32"/>
          <w:szCs w:val="32"/>
        </w:rPr>
        <w:t>教育整顿督导组</w:t>
      </w:r>
      <w:r>
        <w:rPr>
          <w:rFonts w:hint="eastAsia" w:ascii="仿宋_GB2312" w:eastAsia="仿宋_GB2312"/>
          <w:sz w:val="32"/>
          <w:szCs w:val="32"/>
          <w:lang w:eastAsia="zh-CN"/>
        </w:rPr>
        <w:t>、</w:t>
      </w:r>
      <w:r>
        <w:rPr>
          <w:rFonts w:hint="eastAsia" w:ascii="仿宋_GB2312" w:eastAsia="仿宋_GB2312"/>
          <w:sz w:val="32"/>
          <w:szCs w:val="32"/>
        </w:rPr>
        <w:t>廉政瞭望杂志社一行</w:t>
      </w:r>
      <w:r>
        <w:rPr>
          <w:rFonts w:hint="eastAsia" w:ascii="仿宋_GB2312" w:eastAsia="仿宋_GB2312"/>
          <w:sz w:val="32"/>
          <w:szCs w:val="32"/>
          <w:lang w:eastAsia="zh-CN"/>
        </w:rPr>
        <w:t>等</w:t>
      </w:r>
      <w:r>
        <w:rPr>
          <w:rFonts w:hint="eastAsia" w:ascii="仿宋_GB2312" w:eastAsia="仿宋_GB2312"/>
          <w:sz w:val="32"/>
          <w:szCs w:val="32"/>
        </w:rPr>
        <w:t>。</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320" w:firstLineChars="100"/>
        <w:outlineLvl w:val="1"/>
        <w:rPr>
          <w:rStyle w:val="34"/>
          <w:rFonts w:ascii="黑体" w:hAnsi="黑体" w:eastAsia="黑体"/>
        </w:rPr>
      </w:pPr>
      <w:bookmarkStart w:id="40" w:name="_Toc15396610"/>
      <w:bookmarkStart w:id="41" w:name="_Toc15377218"/>
      <w:r>
        <w:rPr>
          <w:rFonts w:hint="eastAsia" w:ascii="黑体" w:eastAsia="黑体"/>
          <w:sz w:val="32"/>
          <w:szCs w:val="32"/>
        </w:rPr>
        <w:t>八、</w:t>
      </w:r>
      <w:r>
        <w:rPr>
          <w:rStyle w:val="34"/>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34"/>
          <w:rFonts w:ascii="黑体" w:hAnsi="黑体" w:eastAsia="黑体"/>
          <w:b w:val="0"/>
        </w:rPr>
      </w:pPr>
      <w:bookmarkStart w:id="42" w:name="_Toc15396611"/>
      <w:bookmarkStart w:id="43" w:name="_Toc15377219"/>
      <w:r>
        <w:rPr>
          <w:rStyle w:val="34"/>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4"/>
          <w:rFonts w:ascii="黑体" w:hAnsi="黑体" w:eastAsia="黑体"/>
          <w:b w:val="0"/>
        </w:rPr>
      </w:pPr>
      <w:bookmarkStart w:id="44" w:name="_Toc15377221"/>
      <w:bookmarkStart w:id="45" w:name="_Toc15396612"/>
      <w:r>
        <w:rPr>
          <w:rStyle w:val="34"/>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中国共产党宝兴县纪律检查委员会部门</w:t>
      </w:r>
      <w:r>
        <w:rPr>
          <w:rFonts w:hint="eastAsia" w:ascii="仿宋_GB2312" w:eastAsia="仿宋_GB2312"/>
          <w:sz w:val="32"/>
          <w:szCs w:val="32"/>
        </w:rPr>
        <w:t>机关运行经费支出</w:t>
      </w:r>
      <w:r>
        <w:rPr>
          <w:sz w:val="32"/>
          <w:szCs w:val="32"/>
        </w:rPr>
        <w:t>207.67</w:t>
      </w:r>
      <w:r>
        <w:rPr>
          <w:rFonts w:hint="eastAsia" w:ascii="仿宋_GB2312" w:eastAsia="仿宋_GB2312"/>
          <w:sz w:val="32"/>
          <w:szCs w:val="32"/>
        </w:rPr>
        <w:t>万元，比2022年度</w:t>
      </w:r>
      <w:r>
        <w:rPr>
          <w:rFonts w:hint="eastAsia" w:ascii="仿宋_GB2312" w:eastAsia="仿宋_GB2312"/>
          <w:sz w:val="32"/>
          <w:szCs w:val="32"/>
          <w:lang w:val="en-US" w:eastAsia="zh-CN"/>
        </w:rPr>
        <w:t>211.45万元</w:t>
      </w:r>
      <w:r>
        <w:rPr>
          <w:rFonts w:hint="eastAsia" w:ascii="仿宋_GB2312" w:eastAsia="仿宋_GB2312"/>
          <w:sz w:val="32"/>
          <w:szCs w:val="32"/>
        </w:rPr>
        <w:t>减少</w:t>
      </w:r>
      <w:r>
        <w:rPr>
          <w:rFonts w:hint="eastAsia" w:ascii="仿宋_GB2312" w:eastAsia="仿宋_GB2312"/>
          <w:sz w:val="32"/>
          <w:szCs w:val="32"/>
          <w:lang w:val="en-US" w:eastAsia="zh-CN"/>
        </w:rPr>
        <w:t>3.78</w:t>
      </w:r>
      <w:r>
        <w:rPr>
          <w:rFonts w:hint="eastAsia" w:ascii="仿宋_GB2312" w:eastAsia="仿宋_GB2312"/>
          <w:sz w:val="32"/>
          <w:szCs w:val="32"/>
        </w:rPr>
        <w:t>万元，下降</w:t>
      </w:r>
      <w:r>
        <w:rPr>
          <w:rFonts w:hint="eastAsia" w:ascii="仿宋_GB2312" w:eastAsia="仿宋_GB2312"/>
          <w:sz w:val="32"/>
          <w:szCs w:val="32"/>
          <w:lang w:val="en-US" w:eastAsia="zh-CN"/>
        </w:rPr>
        <w:t>1.79</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kern w:val="2"/>
          <w:sz w:val="32"/>
          <w:szCs w:val="32"/>
          <w:lang w:val="en-US" w:eastAsia="zh-CN" w:bidi="ar-SA"/>
        </w:rPr>
        <w:t>2023年，调出6人，调入3人，退休1人，新进1人，人员变动导致2022年度基本支出减少</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中国共产党宝兴县纪律检查委员会部门</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中国共产党宝兴县纪律检查委员会部门</w:t>
      </w:r>
      <w:r>
        <w:rPr>
          <w:rFonts w:hint="eastAsia" w:ascii="仿宋_GB2312" w:eastAsia="仿宋_GB2312"/>
          <w:sz w:val="32"/>
          <w:szCs w:val="32"/>
        </w:rPr>
        <w:t>共有车辆</w:t>
      </w:r>
      <w:r>
        <w:rPr>
          <w:rFonts w:ascii="仿宋_GB2312" w:eastAsia="仿宋_GB2312"/>
          <w:sz w:val="32"/>
          <w:szCs w:val="32"/>
        </w:rPr>
        <w:t>3</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hAnsi="Cambria" w:eastAsia="仿宋_GB2312"/>
          <w:color w:val="000000"/>
          <w:kern w:val="2"/>
          <w:sz w:val="32"/>
          <w:lang w:val="zh-CN"/>
        </w:rPr>
        <w:t>执法执勤用车3辆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根据预算绩效管理要求，本部门在2023年度预算编制阶段，组织对巡察保障</w:t>
      </w:r>
      <w:r>
        <w:rPr>
          <w:rFonts w:hint="eastAsia" w:ascii="仿宋_GB2312" w:hAnsi="仿宋_GB2312" w:eastAsia="仿宋_GB2312" w:cs="仿宋_GB2312"/>
          <w:sz w:val="32"/>
          <w:szCs w:val="32"/>
          <w:lang w:eastAsia="zh-CN"/>
        </w:rPr>
        <w:t>、办案场所（谈话室）升级改造、党风廉政建设社会评价工作、纪检监察审查调查、四川省廉洁文化基地VR展厅</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组织对2023年度一般公共预算、政府性基金预算、国有资本经营预算、社会保险基金预算以及资本资产、债券资金等全面开展绩效自评，形成中共宝兴县纪委部门整体（含部门预算项目）绩效自评报告、巡察保障</w:t>
      </w:r>
      <w:r>
        <w:rPr>
          <w:rFonts w:hint="eastAsia" w:ascii="仿宋_GB2312" w:hAnsi="仿宋_GB2312" w:eastAsia="仿宋_GB2312" w:cs="仿宋_GB2312"/>
          <w:sz w:val="32"/>
          <w:szCs w:val="32"/>
          <w:lang w:eastAsia="zh-CN"/>
        </w:rPr>
        <w:t>、办案场所（谈话室）升级改造、党风廉政建设社会评价工作、纪检监察审查调查、四川省廉洁文化基地VR展厅</w:t>
      </w:r>
      <w:r>
        <w:rPr>
          <w:rFonts w:hint="eastAsia" w:ascii="仿宋_GB2312" w:hAnsi="仿宋_GB2312" w:eastAsia="仿宋_GB2312" w:cs="仿宋_GB2312"/>
          <w:sz w:val="32"/>
          <w:szCs w:val="32"/>
        </w:rPr>
        <w:t>等专项预算项目绩效自评报告，其中，中共宝兴县纪委部门整体（含部门预算项目）绩效自评得分为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eastAsia="zh-CN"/>
        </w:rPr>
        <w:t>对照《2023年度县级部门整体绩效评价指标体系》设定的绩效指标和计分标准，中共宝兴县纪律检查委员会</w:t>
      </w:r>
      <w:r>
        <w:rPr>
          <w:rFonts w:hint="eastAsia" w:ascii="仿宋_GB2312" w:hAnsi="仿宋_GB2312" w:eastAsia="仿宋_GB2312" w:cs="仿宋_GB2312"/>
          <w:sz w:val="32"/>
          <w:szCs w:val="32"/>
          <w:lang w:val="en-US" w:eastAsia="zh-CN"/>
        </w:rPr>
        <w:t>2023年度部门整体支出绩效自我评价综合得分</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中共宝兴县纪律检查委员会</w:t>
      </w:r>
      <w:r>
        <w:rPr>
          <w:rFonts w:hint="eastAsia" w:ascii="仿宋_GB2312" w:hAnsi="仿宋_GB2312" w:eastAsia="仿宋_GB2312" w:cs="仿宋_GB2312"/>
          <w:sz w:val="32"/>
          <w:szCs w:val="32"/>
          <w:lang w:eastAsia="zh-CN"/>
        </w:rPr>
        <w:t>部门整体支出绩效总体较好。</w:t>
      </w:r>
      <w:r>
        <w:rPr>
          <w:rFonts w:hint="eastAsia" w:ascii="仿宋_GB2312" w:hAnsi="仿宋_GB2312" w:eastAsia="仿宋_GB2312" w:cs="仿宋_GB2312"/>
          <w:sz w:val="32"/>
          <w:szCs w:val="32"/>
        </w:rPr>
        <w:t>2023年度巡察保障经费专项预算项目</w:t>
      </w:r>
      <w:r>
        <w:rPr>
          <w:rFonts w:hint="eastAsia" w:ascii="仿宋_GB2312" w:hAnsi="仿宋_GB2312" w:eastAsia="仿宋_GB2312" w:cs="仿宋_GB2312"/>
          <w:sz w:val="32"/>
          <w:szCs w:val="32"/>
          <w:lang w:eastAsia="zh-CN"/>
        </w:rPr>
        <w:t>、2023年度办案场所（谈话室）升级改造项目、</w:t>
      </w:r>
      <w:r>
        <w:rPr>
          <w:rFonts w:hint="eastAsia" w:ascii="仿宋_GB2312" w:hAnsi="仿宋_GB2312" w:eastAsia="仿宋_GB2312" w:cs="仿宋_GB2312"/>
          <w:sz w:val="32"/>
          <w:szCs w:val="32"/>
        </w:rPr>
        <w:t>2023年度纪检监察审查调查专项资金预算项目</w:t>
      </w:r>
      <w:r>
        <w:rPr>
          <w:rFonts w:hint="eastAsia" w:ascii="仿宋_GB2312" w:hAnsi="仿宋_GB2312" w:eastAsia="仿宋_GB2312" w:cs="仿宋_GB2312"/>
          <w:sz w:val="32"/>
          <w:szCs w:val="32"/>
          <w:lang w:eastAsia="zh-CN"/>
        </w:rPr>
        <w:t>、2023年度党风廉政建设社会评价工作专项资金预算项目、</w:t>
      </w:r>
      <w:r>
        <w:rPr>
          <w:rFonts w:hint="eastAsia" w:ascii="仿宋_GB2312" w:hAnsi="仿宋_GB2312" w:eastAsia="仿宋_GB2312" w:cs="仿宋_GB2312"/>
          <w:sz w:val="32"/>
          <w:szCs w:val="32"/>
        </w:rPr>
        <w:t>2023年度四川省廉洁文化基地VR展厅专项资金预算项目绩效自评得分为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分。绩效自评报告详见附件。</w:t>
      </w:r>
    </w:p>
    <w:p>
      <w:pPr>
        <w:pStyle w:val="6"/>
        <w:jc w:val="center"/>
      </w:pPr>
      <w:r>
        <w:rPr>
          <w:rFonts w:hint="eastAsia"/>
        </w:rPr>
        <w:t>第三部分 名词解释</w:t>
      </w:r>
    </w:p>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1.财政拨款收入：指单位从同级财政单位取得的财政预算资金。</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2.事业收入：指事业单位开展专业业务活动及辅助活动取得的收入。</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3.经营收入：指事业单位在专业业务活动及其辅助活动之外开展非独立核算经营活动取得的收入。</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4.其他收入：指单位取得的除上述收入以外的各项收入。</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 xml:space="preserve">5.使用非财政拨款结余：指事业单位使用以前年度积累的非财政拨款结余弥补当年收支差额的金额。 </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 xml:space="preserve">6.年初结转和结余：指以前年度尚未完成、结转到本年按有关规定继续使用的资金。 </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7.结余分配：指事业单位按照会计制度规定缴纳的所得税、提取的专用结余以及转入非财政拨款结余的金额等。</w:t>
      </w:r>
    </w:p>
    <w:p>
      <w:pPr>
        <w:spacing w:line="576" w:lineRule="exact"/>
        <w:ind w:firstLine="640"/>
        <w:rPr>
          <w:rFonts w:hint="eastAsia" w:ascii="仿宋_GB2312" w:hAnsi="Cambria" w:eastAsia="仿宋_GB2312"/>
          <w:color w:val="000000"/>
          <w:sz w:val="32"/>
        </w:rPr>
      </w:pPr>
      <w:r>
        <w:rPr>
          <w:rFonts w:hint="eastAsia" w:ascii="仿宋_GB2312" w:hAnsi="Cambria" w:eastAsia="仿宋_GB2312"/>
          <w:color w:val="000000"/>
          <w:sz w:val="32"/>
        </w:rPr>
        <w:t>8.年末结转和结余：指单位按有关规定结转到下年或以后年度继续使用的资金。</w:t>
      </w:r>
    </w:p>
    <w:p>
      <w:pPr>
        <w:spacing w:line="576" w:lineRule="exact"/>
        <w:ind w:firstLine="640"/>
        <w:jc w:val="both"/>
        <w:rPr>
          <w:rFonts w:hint="eastAsia" w:ascii="仿宋_GB2312" w:hAnsi="Cambria" w:eastAsia="仿宋_GB2312"/>
          <w:color w:val="000000"/>
          <w:kern w:val="2"/>
          <w:sz w:val="32"/>
        </w:rPr>
      </w:pPr>
      <w:r>
        <w:rPr>
          <w:rFonts w:hint="eastAsia" w:ascii="仿宋_GB2312" w:hAnsi="Cambria" w:eastAsia="仿宋_GB2312"/>
          <w:color w:val="000000"/>
          <w:kern w:val="2"/>
          <w:sz w:val="32"/>
        </w:rPr>
        <w:t>9.</w:t>
      </w:r>
      <w:r>
        <w:rPr>
          <w:rFonts w:hint="eastAsia" w:ascii="仿宋_GB2312" w:eastAsia="仿宋_GB2312"/>
          <w:color w:val="000000"/>
          <w:sz w:val="32"/>
        </w:rPr>
        <w:t xml:space="preserve"> 一般公共服务（类）纪检监察事务（款）行政运行（项）：指县纪委监委机关基本支出</w:t>
      </w:r>
      <w:r>
        <w:rPr>
          <w:rFonts w:hint="eastAsia" w:ascii="仿宋_GB2312" w:hAnsi="Cambria" w:eastAsia="仿宋_GB2312"/>
          <w:color w:val="000000"/>
          <w:kern w:val="2"/>
          <w:sz w:val="32"/>
        </w:rPr>
        <w:t>。</w:t>
      </w:r>
    </w:p>
    <w:p>
      <w:pPr>
        <w:snapToGrid w:val="0"/>
        <w:spacing w:line="540" w:lineRule="exact"/>
        <w:ind w:firstLine="640" w:firstLineChars="200"/>
        <w:rPr>
          <w:rFonts w:hint="eastAsia" w:ascii="仿宋_GB2312" w:eastAsia="仿宋_GB2312"/>
          <w:sz w:val="32"/>
        </w:rPr>
      </w:pPr>
      <w:r>
        <w:rPr>
          <w:rFonts w:hint="eastAsia" w:ascii="仿宋_GB2312" w:hAnsi="Cambria" w:eastAsia="仿宋_GB2312"/>
          <w:color w:val="000000"/>
          <w:kern w:val="2"/>
          <w:sz w:val="32"/>
        </w:rPr>
        <w:t>10.</w:t>
      </w:r>
      <w:r>
        <w:rPr>
          <w:rFonts w:hint="eastAsia" w:ascii="仿宋_GB2312" w:eastAsia="仿宋_GB2312"/>
          <w:sz w:val="32"/>
        </w:rPr>
        <w:t xml:space="preserve"> 一般公共服务（类）纪检监察事务（款）一般行政管理事务（项）指用于全县党风廉政建设和反腐败工作的支出。</w:t>
      </w:r>
    </w:p>
    <w:p>
      <w:pPr>
        <w:snapToGrid w:val="0"/>
        <w:spacing w:line="540" w:lineRule="exact"/>
        <w:ind w:firstLine="640" w:firstLineChars="200"/>
        <w:rPr>
          <w:rFonts w:hint="eastAsia" w:ascii="仿宋_GB2312" w:eastAsia="仿宋_GB2312"/>
          <w:sz w:val="32"/>
        </w:rPr>
      </w:pPr>
      <w:r>
        <w:rPr>
          <w:rFonts w:hint="eastAsia" w:ascii="仿宋_GB2312" w:hAnsi="Cambria" w:eastAsia="仿宋_GB2312"/>
          <w:color w:val="000000"/>
          <w:kern w:val="2"/>
          <w:sz w:val="32"/>
        </w:rPr>
        <w:t>11.</w:t>
      </w:r>
      <w:r>
        <w:rPr>
          <w:rFonts w:hint="eastAsia" w:ascii="仿宋_GB2312" w:eastAsia="仿宋_GB2312"/>
          <w:sz w:val="32"/>
        </w:rPr>
        <w:t xml:space="preserve"> 一般公共服务（类）纪检监察事务（款）大案要案查办（项）指查办大案要案的支出。</w:t>
      </w:r>
    </w:p>
    <w:p>
      <w:pPr>
        <w:snapToGrid w:val="0"/>
        <w:spacing w:line="540" w:lineRule="exact"/>
        <w:ind w:firstLine="640" w:firstLineChars="200"/>
        <w:rPr>
          <w:rFonts w:hint="eastAsia" w:ascii="仿宋_GB2312" w:eastAsia="仿宋_GB2312"/>
          <w:color w:val="000000"/>
          <w:sz w:val="32"/>
        </w:rPr>
      </w:pPr>
      <w:r>
        <w:rPr>
          <w:rFonts w:hint="eastAsia" w:ascii="仿宋_GB2312" w:hAnsi="Cambria" w:eastAsia="仿宋_GB2312"/>
          <w:color w:val="000000"/>
          <w:kern w:val="2"/>
          <w:sz w:val="32"/>
        </w:rPr>
        <w:t>12.</w:t>
      </w:r>
      <w:r>
        <w:rPr>
          <w:rFonts w:hint="eastAsia" w:ascii="仿宋_GB2312" w:eastAsia="仿宋_GB2312"/>
          <w:sz w:val="32"/>
        </w:rPr>
        <w:t xml:space="preserve"> 一般公共服务（类）纪检监察事务（款）其他纪检监察事务支出（项）指乡镇纪委办公经费支出。</w:t>
      </w:r>
    </w:p>
    <w:p>
      <w:pPr>
        <w:snapToGrid w:val="0"/>
        <w:spacing w:line="540" w:lineRule="exact"/>
        <w:ind w:firstLine="640" w:firstLineChars="200"/>
        <w:rPr>
          <w:rFonts w:hint="eastAsia" w:ascii="仿宋_GB2312" w:eastAsia="仿宋_GB2312"/>
          <w:sz w:val="32"/>
        </w:rPr>
      </w:pPr>
      <w:r>
        <w:rPr>
          <w:rFonts w:hint="eastAsia" w:ascii="仿宋_GB2312" w:hAnsi="Cambria" w:eastAsia="仿宋_GB2312"/>
          <w:color w:val="000000"/>
          <w:kern w:val="2"/>
          <w:sz w:val="32"/>
        </w:rPr>
        <w:t>13.</w:t>
      </w:r>
      <w:r>
        <w:rPr>
          <w:rFonts w:hint="eastAsia" w:ascii="仿宋_GB2312" w:eastAsia="仿宋_GB2312"/>
          <w:sz w:val="32"/>
        </w:rPr>
        <w:t xml:space="preserve"> 社会保障和就业（类）行政事业单位离退休（款）未归口管理的行政单位离退休（项）指县纪委监委离退休人员工资支出。</w:t>
      </w:r>
    </w:p>
    <w:p>
      <w:pPr>
        <w:spacing w:line="576" w:lineRule="exact"/>
        <w:ind w:firstLine="640"/>
        <w:jc w:val="both"/>
        <w:rPr>
          <w:rFonts w:hint="eastAsia" w:ascii="仿宋_GB2312" w:eastAsia="仿宋_GB2312"/>
          <w:sz w:val="32"/>
        </w:rPr>
      </w:pPr>
      <w:r>
        <w:rPr>
          <w:rFonts w:hint="eastAsia" w:ascii="仿宋_GB2312" w:hAnsi="Cambria" w:eastAsia="仿宋_GB2312"/>
          <w:color w:val="000000"/>
          <w:kern w:val="2"/>
          <w:sz w:val="32"/>
        </w:rPr>
        <w:t>14.</w:t>
      </w:r>
      <w:r>
        <w:rPr>
          <w:rFonts w:hint="eastAsia" w:ascii="仿宋_GB2312" w:eastAsia="仿宋_GB2312"/>
          <w:sz w:val="32"/>
        </w:rPr>
        <w:t xml:space="preserve"> 社会保障和就业（类）行政事业单位离退休（款）机关事业单位养老保险缴费支出（项）指县纪委监委人员养老保险缴费支出。</w:t>
      </w:r>
    </w:p>
    <w:p>
      <w:pPr>
        <w:snapToGrid w:val="0"/>
        <w:spacing w:line="540" w:lineRule="exact"/>
        <w:ind w:firstLine="640" w:firstLineChars="200"/>
        <w:rPr>
          <w:rFonts w:hint="eastAsia" w:ascii="仿宋_GB2312" w:eastAsia="仿宋_GB2312"/>
          <w:color w:val="000000"/>
          <w:sz w:val="32"/>
        </w:rPr>
      </w:pPr>
      <w:r>
        <w:rPr>
          <w:rFonts w:hint="eastAsia" w:ascii="仿宋_GB2312" w:hAnsi="Cambria" w:eastAsia="仿宋_GB2312"/>
          <w:color w:val="000000"/>
          <w:kern w:val="2"/>
          <w:sz w:val="32"/>
        </w:rPr>
        <w:t>15.</w:t>
      </w:r>
      <w:r>
        <w:rPr>
          <w:rFonts w:hint="eastAsia" w:ascii="仿宋_GB2312" w:eastAsia="仿宋_GB2312"/>
          <w:sz w:val="32"/>
        </w:rPr>
        <w:t xml:space="preserve"> 社会保障和就业（类）行政事业单位离退休（款）其他行政事业单位离退休支出（项）指县纪委监委退休人员春节慰问金支出。</w:t>
      </w:r>
    </w:p>
    <w:p>
      <w:pPr>
        <w:snapToGrid w:val="0"/>
        <w:spacing w:line="540" w:lineRule="exact"/>
        <w:ind w:firstLine="640" w:firstLineChars="200"/>
        <w:rPr>
          <w:rFonts w:hint="eastAsia" w:ascii="仿宋_GB2312" w:eastAsia="仿宋_GB2312"/>
          <w:color w:val="000000"/>
          <w:sz w:val="32"/>
        </w:rPr>
      </w:pPr>
      <w:r>
        <w:rPr>
          <w:rFonts w:hint="eastAsia" w:ascii="仿宋_GB2312" w:hAnsi="Cambria" w:eastAsia="仿宋_GB2312"/>
          <w:color w:val="000000"/>
          <w:kern w:val="2"/>
          <w:sz w:val="32"/>
        </w:rPr>
        <w:t>16.</w:t>
      </w:r>
      <w:r>
        <w:rPr>
          <w:rFonts w:hint="eastAsia" w:ascii="仿宋_GB2312" w:eastAsia="仿宋_GB2312"/>
          <w:sz w:val="32"/>
        </w:rPr>
        <w:t xml:space="preserve"> 社会保障和就业（类）其他社会保障和就业支出（款）其他社会保障和就业支出（项）指县纪委监委事业人员失业保险和工伤保险缴费支出。</w:t>
      </w:r>
    </w:p>
    <w:p>
      <w:pPr>
        <w:spacing w:line="576" w:lineRule="exact"/>
        <w:ind w:firstLine="640"/>
        <w:jc w:val="both"/>
        <w:rPr>
          <w:rFonts w:hint="eastAsia" w:ascii="仿宋_GB2312" w:eastAsia="仿宋_GB2312"/>
          <w:color w:val="000000"/>
          <w:sz w:val="32"/>
        </w:rPr>
      </w:pPr>
      <w:r>
        <w:rPr>
          <w:rFonts w:hint="eastAsia" w:ascii="仿宋_GB2312" w:hAnsi="Cambria" w:eastAsia="仿宋_GB2312"/>
          <w:color w:val="000000"/>
          <w:kern w:val="2"/>
          <w:sz w:val="32"/>
        </w:rPr>
        <w:t>17.</w:t>
      </w:r>
      <w:r>
        <w:rPr>
          <w:rFonts w:hint="eastAsia" w:ascii="仿宋_GB2312" w:eastAsia="仿宋_GB2312"/>
          <w:color w:val="000000"/>
          <w:sz w:val="32"/>
        </w:rPr>
        <w:t xml:space="preserve"> 卫生健康支出（类）行政事业单位医疗（款）行政单位医疗（项）：指</w:t>
      </w:r>
      <w:r>
        <w:rPr>
          <w:rFonts w:hint="eastAsia" w:ascii="仿宋_GB2312" w:eastAsia="仿宋_GB2312"/>
          <w:sz w:val="32"/>
        </w:rPr>
        <w:t>县纪委监委人员</w:t>
      </w:r>
      <w:r>
        <w:rPr>
          <w:rFonts w:hint="eastAsia" w:ascii="仿宋_GB2312" w:eastAsia="仿宋_GB2312"/>
          <w:color w:val="000000"/>
          <w:sz w:val="32"/>
        </w:rPr>
        <w:t>基本医疗保险缴费支出。</w:t>
      </w:r>
    </w:p>
    <w:p>
      <w:pPr>
        <w:spacing w:line="576" w:lineRule="exact"/>
        <w:ind w:firstLine="640"/>
        <w:jc w:val="both"/>
        <w:rPr>
          <w:rFonts w:hint="eastAsia" w:ascii="仿宋_GB2312" w:hAnsi="Cambria" w:eastAsia="仿宋_GB2312"/>
          <w:color w:val="000000"/>
          <w:kern w:val="2"/>
          <w:sz w:val="32"/>
        </w:rPr>
      </w:pPr>
      <w:r>
        <w:rPr>
          <w:rFonts w:hint="eastAsia" w:ascii="仿宋_GB2312" w:hAnsi="Cambria" w:eastAsia="仿宋_GB2312"/>
          <w:color w:val="000000"/>
          <w:kern w:val="2"/>
          <w:sz w:val="32"/>
        </w:rPr>
        <w:t>18.</w:t>
      </w:r>
      <w:r>
        <w:rPr>
          <w:rFonts w:hint="eastAsia" w:ascii="仿宋_GB2312" w:eastAsia="仿宋_GB2312"/>
          <w:color w:val="000000"/>
          <w:sz w:val="32"/>
        </w:rPr>
        <w:t xml:space="preserve"> 卫生健康支出（类）行政事业单位医疗（款）事业单位医疗（项）：指事业人员基本医疗保险缴费支出。</w:t>
      </w:r>
    </w:p>
    <w:p>
      <w:pPr>
        <w:spacing w:line="576" w:lineRule="exact"/>
        <w:ind w:firstLine="640"/>
        <w:jc w:val="both"/>
        <w:rPr>
          <w:rFonts w:hint="eastAsia" w:ascii="仿宋_GB2312" w:hAnsi="Cambria" w:eastAsia="仿宋_GB2312"/>
          <w:color w:val="000000"/>
          <w:kern w:val="2"/>
          <w:sz w:val="32"/>
        </w:rPr>
      </w:pPr>
      <w:r>
        <w:rPr>
          <w:rFonts w:hint="eastAsia" w:ascii="仿宋_GB2312" w:hAnsi="Cambria" w:eastAsia="仿宋_GB2312"/>
          <w:color w:val="000000"/>
          <w:kern w:val="2"/>
          <w:sz w:val="32"/>
        </w:rPr>
        <w:t>19.</w:t>
      </w:r>
      <w:r>
        <w:rPr>
          <w:rFonts w:hint="eastAsia" w:ascii="仿宋_GB2312" w:eastAsia="仿宋_GB2312"/>
          <w:sz w:val="32"/>
        </w:rPr>
        <w:t xml:space="preserve"> 住房保障支出（类）住房改革支出（款）住房公积金（项）指县纪委监委人员住房公积金缴费支出。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 xml:space="preserve">.项目支出：指在基本支出之外为完成特定行政任务和事业发展目标所发生的支出。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b/>
          <w:sz w:val="32"/>
          <w:szCs w:val="32"/>
        </w:rPr>
      </w:pPr>
      <w:r>
        <w:rPr>
          <w:rFonts w:ascii="仿宋" w:hAnsi="仿宋" w:eastAsia="仿宋"/>
          <w:b/>
          <w:sz w:val="32"/>
          <w:szCs w:val="32"/>
        </w:rPr>
        <w:br w:type="page"/>
      </w:r>
    </w:p>
    <w:p>
      <w:pPr>
        <w:pStyle w:val="6"/>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kinsoku/>
        <w:wordWrap/>
        <w:topLinePunct w:val="0"/>
        <w:autoSpaceDE/>
        <w:autoSpaceDN/>
        <w:bidi w:val="0"/>
        <w:spacing w:line="576" w:lineRule="exact"/>
        <w:contextualSpacing/>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中共宝兴县纪委办公室</w:t>
      </w:r>
    </w:p>
    <w:p>
      <w:pPr>
        <w:keepNext w:val="0"/>
        <w:keepLines w:val="0"/>
        <w:pageBreakBefore w:val="0"/>
        <w:widowControl/>
        <w:kinsoku/>
        <w:wordWrap/>
        <w:topLinePunct w:val="0"/>
        <w:autoSpaceDE/>
        <w:autoSpaceDN/>
        <w:bidi w:val="0"/>
        <w:spacing w:line="576" w:lineRule="exact"/>
        <w:contextualSpacing/>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FFFFFF"/>
          <w:lang w:val="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2023年部门</w:t>
      </w:r>
      <w:r>
        <w:rPr>
          <w:rFonts w:hint="eastAsia" w:ascii="方正小标宋简体" w:hAnsi="方正小标宋简体" w:eastAsia="方正小标宋简体" w:cs="方正小标宋简体"/>
          <w:b w:val="0"/>
          <w:bCs/>
          <w:color w:val="000000" w:themeColor="text1"/>
          <w:sz w:val="44"/>
          <w:szCs w:val="44"/>
          <w:shd w:val="clear" w:color="auto" w:fill="FFFFFF"/>
          <w:lang w:val="zh-CN"/>
          <w14:textFill>
            <w14:solidFill>
              <w14:schemeClr w14:val="tx1"/>
            </w14:solidFill>
          </w14:textFill>
        </w:rPr>
        <w:t>整体支出绩效自评报告</w:t>
      </w:r>
    </w:p>
    <w:p>
      <w:pPr>
        <w:keepNext w:val="0"/>
        <w:keepLines w:val="0"/>
        <w:pageBreakBefore w:val="0"/>
        <w:widowControl/>
        <w:kinsoku/>
        <w:wordWrap/>
        <w:topLinePunct w:val="0"/>
        <w:autoSpaceDE/>
        <w:autoSpaceDN/>
        <w:bidi w:val="0"/>
        <w:spacing w:line="576" w:lineRule="exact"/>
        <w:contextualSpacing/>
        <w:textAlignment w:val="auto"/>
        <w:rPr>
          <w:rFonts w:ascii="方正小标宋简体" w:hAnsi="宋体" w:eastAsia="方正小标宋简体" w:cs="Times New Roman"/>
          <w:color w:val="000000" w:themeColor="text1"/>
          <w:sz w:val="40"/>
          <w:szCs w:val="44"/>
          <w:lang w:val="zh-CN"/>
          <w14:textFill>
            <w14:solidFill>
              <w14:schemeClr w14:val="tx1"/>
            </w14:solidFill>
          </w14:textFill>
        </w:rPr>
      </w:pP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t>一、部门（单位）</w:t>
      </w:r>
      <w:r>
        <w:rPr>
          <w:rFonts w:hint="eastAsia"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t>基本情况</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（一）机构</w:t>
      </w: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情况</w:t>
      </w: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仿宋_GB2312" w:hAnsi="Tahoma" w:eastAsia="仿宋_GB2312" w:cstheme="minorBidi"/>
          <w:color w:val="000000" w:themeColor="text1"/>
          <w:kern w:val="0"/>
          <w:sz w:val="32"/>
          <w:szCs w:val="32"/>
          <w14:textFill>
            <w14:solidFill>
              <w14:schemeClr w14:val="tx1"/>
            </w14:solidFill>
          </w14:textFill>
        </w:rPr>
      </w:pPr>
      <w:r>
        <w:rPr>
          <w:rFonts w:ascii="仿宋_GB2312" w:hAnsi="Tahoma" w:eastAsia="仿宋_GB2312" w:cstheme="minorBidi"/>
          <w:color w:val="000000" w:themeColor="text1"/>
          <w:kern w:val="0"/>
          <w:sz w:val="32"/>
          <w:szCs w:val="32"/>
          <w14:textFill>
            <w14:solidFill>
              <w14:schemeClr w14:val="tx1"/>
            </w14:solidFill>
          </w14:textFill>
        </w:rPr>
        <w:t>中共</w:t>
      </w:r>
      <w:r>
        <w:rPr>
          <w:rFonts w:hint="eastAsia" w:ascii="仿宋_GB2312" w:hAnsi="Tahoma" w:eastAsia="仿宋_GB2312" w:cstheme="minorBidi"/>
          <w:color w:val="000000" w:themeColor="text1"/>
          <w:kern w:val="0"/>
          <w:sz w:val="32"/>
          <w:szCs w:val="32"/>
          <w14:textFill>
            <w14:solidFill>
              <w14:schemeClr w14:val="tx1"/>
            </w14:solidFill>
          </w14:textFill>
        </w:rPr>
        <w:t>宝兴县纪律检查委员会</w:t>
      </w:r>
      <w:r>
        <w:rPr>
          <w:rFonts w:ascii="仿宋_GB2312" w:hAnsi="Tahoma" w:eastAsia="仿宋_GB2312" w:cstheme="minorBidi"/>
          <w:color w:val="000000" w:themeColor="text1"/>
          <w:kern w:val="0"/>
          <w:sz w:val="32"/>
          <w:szCs w:val="32"/>
          <w14:textFill>
            <w14:solidFill>
              <w14:schemeClr w14:val="tx1"/>
            </w14:solidFill>
          </w14:textFill>
        </w:rPr>
        <w:t>、</w:t>
      </w:r>
      <w:r>
        <w:rPr>
          <w:rFonts w:hint="eastAsia" w:ascii="仿宋_GB2312" w:hAnsi="Tahoma" w:eastAsia="仿宋_GB2312" w:cstheme="minorBidi"/>
          <w:color w:val="000000" w:themeColor="text1"/>
          <w:kern w:val="0"/>
          <w:sz w:val="32"/>
          <w:szCs w:val="32"/>
          <w14:textFill>
            <w14:solidFill>
              <w14:schemeClr w14:val="tx1"/>
            </w14:solidFill>
          </w14:textFill>
        </w:rPr>
        <w:t>宝兴县</w:t>
      </w:r>
      <w:r>
        <w:rPr>
          <w:rFonts w:ascii="仿宋_GB2312" w:hAnsi="Tahoma" w:eastAsia="仿宋_GB2312" w:cstheme="minorBidi"/>
          <w:color w:val="000000" w:themeColor="text1"/>
          <w:kern w:val="0"/>
          <w:sz w:val="32"/>
          <w:szCs w:val="32"/>
          <w14:textFill>
            <w14:solidFill>
              <w14:schemeClr w14:val="tx1"/>
            </w14:solidFill>
          </w14:textFill>
        </w:rPr>
        <w:t>监察委员会合署办公，共有</w:t>
      </w:r>
      <w:r>
        <w:rPr>
          <w:rFonts w:hint="eastAsia" w:ascii="仿宋_GB2312" w:hAnsi="Tahoma" w:eastAsia="仿宋_GB2312" w:cstheme="minorBidi"/>
          <w:color w:val="000000" w:themeColor="text1"/>
          <w:kern w:val="0"/>
          <w:sz w:val="32"/>
          <w:szCs w:val="32"/>
          <w14:textFill>
            <w14:solidFill>
              <w14:schemeClr w14:val="tx1"/>
            </w14:solidFill>
          </w14:textFill>
        </w:rPr>
        <w:t>11</w:t>
      </w:r>
      <w:r>
        <w:rPr>
          <w:rFonts w:ascii="仿宋_GB2312" w:hAnsi="Tahoma" w:eastAsia="仿宋_GB2312" w:cstheme="minorBidi"/>
          <w:color w:val="000000" w:themeColor="text1"/>
          <w:kern w:val="0"/>
          <w:sz w:val="32"/>
          <w:szCs w:val="32"/>
          <w14:textFill>
            <w14:solidFill>
              <w14:schemeClr w14:val="tx1"/>
            </w14:solidFill>
          </w14:textFill>
        </w:rPr>
        <w:t>个内设机构，具体为：办公室、组织部、党风政风监督室、信访室、案件监督管理室</w:t>
      </w:r>
      <w:r>
        <w:rPr>
          <w:rFonts w:hint="eastAsia" w:ascii="仿宋_GB2312" w:hAnsi="Tahoma" w:eastAsia="仿宋_GB2312" w:cstheme="minorBidi"/>
          <w:color w:val="000000" w:themeColor="text1"/>
          <w:kern w:val="0"/>
          <w:sz w:val="32"/>
          <w:szCs w:val="32"/>
          <w14:textFill>
            <w14:solidFill>
              <w14:schemeClr w14:val="tx1"/>
            </w14:solidFill>
          </w14:textFill>
        </w:rPr>
        <w:t>（信息技术保障室）</w:t>
      </w:r>
      <w:r>
        <w:rPr>
          <w:rFonts w:ascii="仿宋_GB2312" w:hAnsi="Tahoma" w:eastAsia="仿宋_GB2312" w:cstheme="minorBidi"/>
          <w:color w:val="000000" w:themeColor="text1"/>
          <w:kern w:val="0"/>
          <w:sz w:val="32"/>
          <w:szCs w:val="32"/>
          <w14:textFill>
            <w14:solidFill>
              <w14:schemeClr w14:val="tx1"/>
            </w14:solidFill>
          </w14:textFill>
        </w:rPr>
        <w:t>、第一至第</w:t>
      </w:r>
      <w:r>
        <w:rPr>
          <w:rFonts w:hint="eastAsia" w:ascii="仿宋_GB2312" w:hAnsi="Tahoma" w:eastAsia="仿宋_GB2312" w:cstheme="minorBidi"/>
          <w:color w:val="000000" w:themeColor="text1"/>
          <w:kern w:val="0"/>
          <w:sz w:val="32"/>
          <w:szCs w:val="32"/>
          <w14:textFill>
            <w14:solidFill>
              <w14:schemeClr w14:val="tx1"/>
            </w14:solidFill>
          </w14:textFill>
        </w:rPr>
        <w:t>四</w:t>
      </w:r>
      <w:r>
        <w:rPr>
          <w:rFonts w:ascii="仿宋_GB2312" w:hAnsi="Tahoma" w:eastAsia="仿宋_GB2312" w:cstheme="minorBidi"/>
          <w:color w:val="000000" w:themeColor="text1"/>
          <w:kern w:val="0"/>
          <w:sz w:val="32"/>
          <w:szCs w:val="32"/>
          <w14:textFill>
            <w14:solidFill>
              <w14:schemeClr w14:val="tx1"/>
            </w14:solidFill>
          </w14:textFill>
        </w:rPr>
        <w:t>纪检监察室、</w:t>
      </w:r>
      <w:r>
        <w:rPr>
          <w:rFonts w:hint="eastAsia" w:ascii="仿宋_GB2312" w:hAnsi="Tahoma" w:eastAsia="仿宋_GB2312" w:cstheme="minorBidi"/>
          <w:color w:val="000000" w:themeColor="text1"/>
          <w:kern w:val="0"/>
          <w:sz w:val="32"/>
          <w:szCs w:val="32"/>
          <w14:textFill>
            <w14:solidFill>
              <w14:schemeClr w14:val="tx1"/>
            </w14:solidFill>
          </w14:textFill>
        </w:rPr>
        <w:t>干部监督室、</w:t>
      </w:r>
      <w:r>
        <w:rPr>
          <w:rFonts w:ascii="仿宋_GB2312" w:hAnsi="Tahoma" w:eastAsia="仿宋_GB2312" w:cstheme="minorBidi"/>
          <w:color w:val="000000" w:themeColor="text1"/>
          <w:kern w:val="0"/>
          <w:sz w:val="32"/>
          <w:szCs w:val="32"/>
          <w14:textFill>
            <w14:solidFill>
              <w14:schemeClr w14:val="tx1"/>
            </w14:solidFill>
          </w14:textFill>
        </w:rPr>
        <w:t>案件审理室</w:t>
      </w:r>
      <w:r>
        <w:rPr>
          <w:rFonts w:hint="eastAsia" w:ascii="仿宋_GB2312" w:hAnsi="Tahoma" w:eastAsia="仿宋_GB2312" w:cstheme="minorBidi"/>
          <w:color w:val="000000" w:themeColor="text1"/>
          <w:kern w:val="0"/>
          <w:sz w:val="32"/>
          <w:szCs w:val="32"/>
          <w14:textFill>
            <w14:solidFill>
              <w14:schemeClr w14:val="tx1"/>
            </w14:solidFill>
          </w14:textFill>
        </w:rPr>
        <w:t>。</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pPr>
      <w:r>
        <w:rPr>
          <w:rFonts w:ascii="仿宋_GB2312" w:hAnsi="Tahoma" w:eastAsia="仿宋_GB2312" w:cstheme="minorBidi"/>
          <w:color w:val="000000" w:themeColor="text1"/>
          <w:kern w:val="0"/>
          <w:sz w:val="32"/>
          <w:szCs w:val="32"/>
          <w14:textFill>
            <w14:solidFill>
              <w14:schemeClr w14:val="tx1"/>
            </w14:solidFill>
          </w14:textFill>
        </w:rPr>
        <w:t>设有1个事业单位</w:t>
      </w:r>
      <w:r>
        <w:rPr>
          <w:rFonts w:hint="eastAsia" w:ascii="仿宋_GB2312" w:hAnsi="Tahoma" w:eastAsia="仿宋_GB2312" w:cstheme="minorBidi"/>
          <w:color w:val="000000" w:themeColor="text1"/>
          <w:kern w:val="0"/>
          <w:sz w:val="32"/>
          <w:szCs w:val="32"/>
          <w14:textFill>
            <w14:solidFill>
              <w14:schemeClr w14:val="tx1"/>
            </w14:solidFill>
          </w14:textFill>
        </w:rPr>
        <w:t>为</w:t>
      </w:r>
      <w:r>
        <w:rPr>
          <w:rFonts w:ascii="仿宋_GB2312" w:hAnsi="Tahoma" w:eastAsia="仿宋_GB2312" w:cstheme="minorBidi"/>
          <w:color w:val="000000" w:themeColor="text1"/>
          <w:kern w:val="0"/>
          <w:sz w:val="32"/>
          <w:szCs w:val="32"/>
          <w14:textFill>
            <w14:solidFill>
              <w14:schemeClr w14:val="tx1"/>
            </w14:solidFill>
          </w14:textFill>
        </w:rPr>
        <w:t>党风廉政教育培训中心。</w:t>
      </w:r>
    </w:p>
    <w:p>
      <w:pPr>
        <w:keepNext w:val="0"/>
        <w:keepLines w:val="0"/>
        <w:pageBreakBefore w:val="0"/>
        <w:widowControl w:val="0"/>
        <w:kinsoku/>
        <w:wordWrap/>
        <w:topLinePunct w:val="0"/>
        <w:autoSpaceDE/>
        <w:autoSpaceDN/>
        <w:bidi w:val="0"/>
        <w:spacing w:line="576" w:lineRule="exact"/>
        <w:ind w:firstLine="640" w:firstLineChars="200"/>
        <w:jc w:val="both"/>
        <w:textAlignment w:val="auto"/>
        <w:rPr>
          <w:rFonts w:ascii="仿宋_GB2312" w:hAnsi="Tahoma" w:eastAsia="仿宋_GB2312" w:cstheme="minorBidi"/>
          <w:color w:val="000000" w:themeColor="text1"/>
          <w:kern w:val="0"/>
          <w:sz w:val="32"/>
          <w:szCs w:val="32"/>
          <w:lang w:val="en-US" w:eastAsia="zh-CN" w:bidi="ar-SA"/>
          <w14:textFill>
            <w14:solidFill>
              <w14:schemeClr w14:val="tx1"/>
            </w14:solidFill>
          </w14:textFill>
        </w:rPr>
      </w:pPr>
      <w:r>
        <w:rPr>
          <w:rFonts w:hint="eastAsia" w:ascii="仿宋_GB2312" w:hAnsi="Tahoma" w:eastAsia="仿宋_GB2312" w:cstheme="minorBidi"/>
          <w:color w:val="000000" w:themeColor="text1"/>
          <w:kern w:val="0"/>
          <w:sz w:val="32"/>
          <w:szCs w:val="32"/>
          <w:lang w:val="en-US" w:eastAsia="zh-CN" w:bidi="ar-SA"/>
          <w14:textFill>
            <w14:solidFill>
              <w14:schemeClr w14:val="tx1"/>
            </w14:solidFill>
          </w14:textFill>
        </w:rPr>
        <w:t>县委</w:t>
      </w:r>
      <w:r>
        <w:rPr>
          <w:rFonts w:ascii="仿宋_GB2312" w:hAnsi="Tahoma" w:eastAsia="仿宋_GB2312" w:cstheme="minorBidi"/>
          <w:color w:val="000000" w:themeColor="text1"/>
          <w:kern w:val="0"/>
          <w:sz w:val="32"/>
          <w:szCs w:val="32"/>
          <w:lang w:val="en-US" w:eastAsia="zh-CN" w:bidi="ar-SA"/>
          <w14:textFill>
            <w14:solidFill>
              <w14:schemeClr w14:val="tx1"/>
            </w14:solidFill>
          </w14:textFill>
        </w:rPr>
        <w:t>巡察办</w:t>
      </w:r>
      <w:r>
        <w:rPr>
          <w:rFonts w:hint="eastAsia" w:ascii="仿宋_GB2312" w:hAnsi="Tahoma" w:eastAsia="仿宋_GB2312" w:cstheme="minorBidi"/>
          <w:color w:val="000000" w:themeColor="text1"/>
          <w:kern w:val="0"/>
          <w:sz w:val="32"/>
          <w:szCs w:val="32"/>
          <w:lang w:val="en-US" w:eastAsia="zh-CN" w:bidi="ar-SA"/>
          <w14:textFill>
            <w14:solidFill>
              <w14:schemeClr w14:val="tx1"/>
            </w14:solidFill>
          </w14:textFill>
        </w:rPr>
        <w:t>、</w:t>
      </w:r>
      <w:r>
        <w:rPr>
          <w:rFonts w:ascii="仿宋_GB2312" w:hAnsi="Tahoma" w:eastAsia="仿宋_GB2312" w:cstheme="minorBidi"/>
          <w:color w:val="000000" w:themeColor="text1"/>
          <w:kern w:val="0"/>
          <w:sz w:val="32"/>
          <w:szCs w:val="32"/>
          <w:lang w:val="en-US" w:eastAsia="zh-CN" w:bidi="ar-SA"/>
          <w14:textFill>
            <w14:solidFill>
              <w14:schemeClr w14:val="tx1"/>
            </w14:solidFill>
          </w14:textFill>
        </w:rPr>
        <w:t>巡察组为</w:t>
      </w:r>
      <w:r>
        <w:rPr>
          <w:rFonts w:hint="eastAsia" w:ascii="仿宋_GB2312" w:hAnsi="Tahoma" w:eastAsia="仿宋_GB2312" w:cstheme="minorBidi"/>
          <w:color w:val="000000" w:themeColor="text1"/>
          <w:kern w:val="0"/>
          <w:sz w:val="32"/>
          <w:szCs w:val="32"/>
          <w:lang w:val="en-US" w:eastAsia="zh-CN" w:bidi="ar-SA"/>
          <w14:textFill>
            <w14:solidFill>
              <w14:schemeClr w14:val="tx1"/>
            </w14:solidFill>
          </w14:textFill>
        </w:rPr>
        <w:t>县委</w:t>
      </w:r>
      <w:r>
        <w:rPr>
          <w:rFonts w:ascii="仿宋_GB2312" w:hAnsi="Tahoma" w:eastAsia="仿宋_GB2312" w:cstheme="minorBidi"/>
          <w:color w:val="000000" w:themeColor="text1"/>
          <w:kern w:val="0"/>
          <w:sz w:val="32"/>
          <w:szCs w:val="32"/>
          <w:lang w:val="en-US" w:eastAsia="zh-CN" w:bidi="ar-SA"/>
          <w14:textFill>
            <w14:solidFill>
              <w14:schemeClr w14:val="tx1"/>
            </w14:solidFill>
          </w14:textFill>
        </w:rPr>
        <w:t>工作部门</w:t>
      </w:r>
      <w:r>
        <w:rPr>
          <w:rFonts w:hint="eastAsia" w:ascii="仿宋_GB2312" w:hAnsi="Tahoma" w:eastAsia="仿宋_GB2312" w:cstheme="minorBidi"/>
          <w:color w:val="000000" w:themeColor="text1"/>
          <w:kern w:val="0"/>
          <w:sz w:val="32"/>
          <w:szCs w:val="32"/>
          <w:lang w:val="en-US" w:eastAsia="zh-CN" w:bidi="ar-SA"/>
          <w14:textFill>
            <w14:solidFill>
              <w14:schemeClr w14:val="tx1"/>
            </w14:solidFill>
          </w14:textFill>
        </w:rPr>
        <w:t>。</w:t>
      </w:r>
    </w:p>
    <w:p>
      <w:pPr>
        <w:keepNext w:val="0"/>
        <w:keepLines w:val="0"/>
        <w:pageBreakBefore w:val="0"/>
        <w:widowControl w:val="0"/>
        <w:kinsoku/>
        <w:wordWrap/>
        <w:topLinePunct w:val="0"/>
        <w:autoSpaceDE/>
        <w:autoSpaceDN/>
        <w:bidi w:val="0"/>
        <w:spacing w:line="576" w:lineRule="exact"/>
        <w:ind w:firstLine="640" w:firstLineChars="200"/>
        <w:jc w:val="both"/>
        <w:textAlignment w:val="auto"/>
        <w:rPr>
          <w:rFonts w:ascii="仿宋_GB2312" w:hAnsi="Tahoma" w:eastAsia="仿宋_GB2312" w:cstheme="minorBidi"/>
          <w:color w:val="000000" w:themeColor="text1"/>
          <w:kern w:val="0"/>
          <w:sz w:val="32"/>
          <w:szCs w:val="32"/>
          <w:lang w:val="en-US" w:eastAsia="zh-CN" w:bidi="ar-SA"/>
          <w14:textFill>
            <w14:solidFill>
              <w14:schemeClr w14:val="tx1"/>
            </w14:solidFill>
          </w14:textFill>
        </w:rPr>
      </w:pPr>
      <w:r>
        <w:rPr>
          <w:rFonts w:ascii="仿宋_GB2312" w:hAnsi="Tahoma" w:eastAsia="仿宋_GB2312" w:cstheme="minorBidi"/>
          <w:color w:val="000000" w:themeColor="text1"/>
          <w:kern w:val="0"/>
          <w:sz w:val="32"/>
          <w:szCs w:val="32"/>
          <w:lang w:val="en-US" w:eastAsia="zh-CN" w:bidi="ar-SA"/>
          <w14:textFill>
            <w14:solidFill>
              <w14:schemeClr w14:val="tx1"/>
            </w14:solidFill>
          </w14:textFill>
        </w:rPr>
        <w:t>此外</w:t>
      </w:r>
      <w:r>
        <w:rPr>
          <w:rFonts w:hint="eastAsia" w:ascii="仿宋_GB2312" w:hAnsi="Tahoma" w:eastAsia="仿宋_GB2312" w:cstheme="minorBidi"/>
          <w:color w:val="000000" w:themeColor="text1"/>
          <w:kern w:val="0"/>
          <w:sz w:val="32"/>
          <w:szCs w:val="32"/>
          <w:lang w:val="en-US" w:eastAsia="zh-CN" w:bidi="ar-SA"/>
          <w14:textFill>
            <w14:solidFill>
              <w14:schemeClr w14:val="tx1"/>
            </w14:solidFill>
          </w14:textFill>
        </w:rPr>
        <w:t>，</w:t>
      </w:r>
      <w:r>
        <w:rPr>
          <w:rFonts w:ascii="仿宋_GB2312" w:hAnsi="Tahoma" w:eastAsia="仿宋_GB2312" w:cstheme="minorBidi"/>
          <w:color w:val="000000" w:themeColor="text1"/>
          <w:kern w:val="0"/>
          <w:sz w:val="32"/>
          <w:szCs w:val="32"/>
          <w:lang w:val="en-US" w:eastAsia="zh-CN" w:bidi="ar-SA"/>
          <w14:textFill>
            <w14:solidFill>
              <w14:schemeClr w14:val="tx1"/>
            </w14:solidFill>
          </w14:textFill>
        </w:rPr>
        <w:t>还设</w:t>
      </w:r>
      <w:r>
        <w:rPr>
          <w:rFonts w:hint="eastAsia" w:ascii="仿宋_GB2312" w:hAnsi="Tahoma" w:eastAsia="仿宋_GB2312" w:cstheme="minorBidi"/>
          <w:color w:val="000000" w:themeColor="text1"/>
          <w:kern w:val="0"/>
          <w:sz w:val="32"/>
          <w:szCs w:val="32"/>
          <w:lang w:val="en-US" w:eastAsia="zh-CN" w:bidi="ar-SA"/>
          <w14:textFill>
            <w14:solidFill>
              <w14:schemeClr w14:val="tx1"/>
            </w14:solidFill>
          </w14:textFill>
        </w:rPr>
        <w:t>有宝兴县纪委监委派驻纪检监察机构14个</w:t>
      </w:r>
      <w:r>
        <w:rPr>
          <w:rFonts w:ascii="仿宋_GB2312" w:hAnsi="Tahoma" w:eastAsia="仿宋_GB2312" w:cstheme="minorBidi"/>
          <w:color w:val="000000" w:themeColor="text1"/>
          <w:kern w:val="0"/>
          <w:sz w:val="32"/>
          <w:szCs w:val="32"/>
          <w:lang w:val="en-US" w:eastAsia="zh-CN" w:bidi="ar-SA"/>
          <w14:textFill>
            <w14:solidFill>
              <w14:schemeClr w14:val="tx1"/>
            </w14:solidFill>
          </w14:textFill>
        </w:rPr>
        <w:t>。</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（二）机构职能和人员概况。</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机构职能：</w:t>
      </w:r>
      <w:r>
        <w:rPr>
          <w:rFonts w:hint="eastAsia" w:ascii="仿宋_GB2312" w:hAnsi="仿宋" w:eastAsia="仿宋_GB2312" w:cs="仿宋_GB2312"/>
          <w:color w:val="000000" w:themeColor="text1"/>
          <w:sz w:val="32"/>
          <w:szCs w:val="32"/>
          <w14:textFill>
            <w14:solidFill>
              <w14:schemeClr w14:val="tx1"/>
            </w14:solidFill>
          </w14:textFill>
        </w:rPr>
        <w:t>中共宝兴县纪律检查委员会与宝兴县监察委员会合署办公，实行一套机构，两个机关名称，履行纪检、监察两项职能。</w:t>
      </w:r>
    </w:p>
    <w:p>
      <w:pPr>
        <w:keepNext w:val="0"/>
        <w:keepLines w:val="0"/>
        <w:pageBreakBefore w:val="0"/>
        <w:kinsoku/>
        <w:wordWrap/>
        <w:topLinePunct w:val="0"/>
        <w:autoSpaceDE/>
        <w:autoSpaceDN/>
        <w:bidi w:val="0"/>
        <w:spacing w:line="576" w:lineRule="exact"/>
        <w:ind w:firstLine="640" w:firstLineChars="200"/>
        <w:textAlignment w:val="auto"/>
        <w:rPr>
          <w:rFonts w:ascii="仿宋_GB2312" w:hAnsi="仿宋" w:eastAsia="仿宋_GB2312" w:cs="仿宋_GB2312"/>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负责党的纪律检查工作。贯彻落实党中央关于纪律检查工作的决定，维护党的章程和其他党内法规，检查党的路线方针政策和决议的执行情况，协助县委推进全面从严治党、加强党风建设和组织协调反腐败工作。</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依照党的章程和其他党内法规履行监督、执纪、问责职责。负责经常对党员进行遵守纪律的教育，作出关于维护党纪的决定。对县委工作部门、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.负责全县监察工作。贯彻落实党中央、省委、市委关于监察工作的决定，维护宪法法律，依法对县委管理的行使公权力的公职人员进行监察，调查职务违法和职务犯罪，开展廉政建设和反腐败工作。</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.负责组织协调全面从严治党、党风廉政建设和反腐败宣传教育工作。</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.负责综合分析全面从严治党、党风廉政建设和反腐败工作情况，对纪检监察工作重要理论及实践问题进行调查研究。制定或者修改全县纪检监察制度，参与起草制定相关制度和规范性文件。</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w:t>
      </w:r>
      <w:r>
        <w:rPr>
          <w:rFonts w:ascii="Times New Roman" w:hAnsi="Times New Roman" w:eastAsia="仿宋_GB2312" w:cs="Times New Roman"/>
          <w:color w:val="000000" w:themeColor="text1"/>
          <w:sz w:val="32"/>
          <w:szCs w:val="32"/>
          <w14:textFill>
            <w14:solidFill>
              <w14:schemeClr w14:val="tx1"/>
            </w14:solidFill>
          </w14:textFill>
        </w:rPr>
        <w:t>.在市纪委监委的领导下，加强对反腐败国际追逃追赃和防逃工作的组织协调，督促有关单位做好相关工作。</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根据干部管理权限，负责纪检监察系统领导班子建设、干部队伍建设和组织建设的综合规划、政策研究、制度建设和业务指导。会同有关方面做好县纪委监委派驻（出）机构、乡（镇）纪委领导班子建设有关工作。组织和指导全县纪检监察系统干部教育培训工作等。</w:t>
      </w:r>
    </w:p>
    <w:p>
      <w:pPr>
        <w:keepNext w:val="0"/>
        <w:keepLines w:val="0"/>
        <w:pageBreakBefore w:val="0"/>
        <w:kinsoku/>
        <w:wordWrap/>
        <w:topLinePunct w:val="0"/>
        <w:autoSpaceDE/>
        <w:autoSpaceDN/>
        <w:bidi w:val="0"/>
        <w:spacing w:line="576"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9</w:t>
      </w:r>
      <w:r>
        <w:rPr>
          <w:rFonts w:ascii="Times New Roman" w:hAnsi="Times New Roman" w:eastAsia="仿宋_GB2312" w:cs="Times New Roman"/>
          <w:color w:val="000000" w:themeColor="text1"/>
          <w:sz w:val="32"/>
          <w:szCs w:val="32"/>
          <w14:textFill>
            <w14:solidFill>
              <w14:schemeClr w14:val="tx1"/>
            </w14:solidFill>
          </w14:textFill>
        </w:rPr>
        <w:t>.完成县委和市纪委监委交办的其他任务。</w:t>
      </w:r>
    </w:p>
    <w:p>
      <w:pPr>
        <w:keepNext w:val="0"/>
        <w:keepLines w:val="0"/>
        <w:pageBreakBefore w:val="0"/>
        <w:kinsoku/>
        <w:wordWrap/>
        <w:topLinePunct w:val="0"/>
        <w:autoSpaceDE/>
        <w:autoSpaceDN/>
        <w:bidi w:val="0"/>
        <w:snapToGrid w:val="0"/>
        <w:spacing w:line="576" w:lineRule="exact"/>
        <w:ind w:firstLine="640" w:firstLineChars="200"/>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lang w:val="zh-CN"/>
          <w14:textFill>
            <w14:solidFill>
              <w14:schemeClr w14:val="tx1"/>
            </w14:solidFill>
          </w14:textFill>
        </w:rPr>
        <w:t>人员概况：</w:t>
      </w:r>
      <w:r>
        <w:rPr>
          <w:rFonts w:hint="eastAsia" w:ascii="仿宋_GB2312" w:hAnsi="仿宋" w:eastAsia="仿宋_GB2312" w:cs="仿宋_GB2312"/>
          <w:color w:val="000000" w:themeColor="text1"/>
          <w:sz w:val="32"/>
          <w:szCs w:val="32"/>
          <w14:textFill>
            <w14:solidFill>
              <w14:schemeClr w14:val="tx1"/>
            </w14:solidFill>
          </w14:textFill>
        </w:rPr>
        <w:t>县纪委监委共有行政编制77个，事业编制3个。</w:t>
      </w:r>
      <w:r>
        <w:rPr>
          <w:rFonts w:hint="eastAsia" w:ascii="仿宋_GB2312" w:hAnsi="仿宋" w:eastAsia="仿宋_GB2312" w:cs="Times New Roman"/>
          <w:color w:val="000000" w:themeColor="text1"/>
          <w:sz w:val="32"/>
          <w:szCs w:val="32"/>
          <w14:textFill>
            <w14:solidFill>
              <w14:schemeClr w14:val="tx1"/>
            </w14:solidFill>
          </w14:textFill>
        </w:rPr>
        <w:t>2023年年末在职人数68人，比2022年年末减少3人，其中：2023年，调出6人，调入3，退休1人，新进1人。公务员65人，事业人员3人。</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（三）年度重点工作任务概述</w:t>
      </w:r>
    </w:p>
    <w:p>
      <w:pPr>
        <w:keepNext w:val="0"/>
        <w:keepLines w:val="0"/>
        <w:pageBreakBefore w:val="0"/>
        <w:kinsoku/>
        <w:wordWrap/>
        <w:topLinePunct w:val="0"/>
        <w:autoSpaceDE/>
        <w:autoSpaceDN/>
        <w:bidi w:val="0"/>
        <w:adjustRightInd w:val="0"/>
        <w:snapToGrid w:val="0"/>
        <w:spacing w:line="576"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1.深化理论武装，在筑牢政治忠诚上作表率。</w:t>
      </w:r>
      <w:r>
        <w:rPr>
          <w:rFonts w:hint="eastAsia" w:ascii="仿宋_GB2312" w:hAnsi="仿宋_GB2312" w:eastAsia="仿宋_GB2312" w:cs="仿宋_GB2312"/>
          <w:color w:val="000000" w:themeColor="text1"/>
          <w:sz w:val="32"/>
          <w:szCs w:val="32"/>
          <w14:textFill>
            <w14:solidFill>
              <w14:schemeClr w14:val="tx1"/>
            </w14:solidFill>
          </w14:textFill>
        </w:rPr>
        <w:t>对标实施“第一议题”制度，坚持不懈用伟大思想凝心铸魂，把学习贯彻党的二十大精神作为首要政治任务，及时跟进学习党中央重大决策部署和习近平总书记重要讲话、重要指示批示精神,不断强化理论武装，坚决践行“两个维护”。</w:t>
      </w:r>
    </w:p>
    <w:p>
      <w:pPr>
        <w:keepNext w:val="0"/>
        <w:keepLines w:val="0"/>
        <w:pageBreakBefore w:val="0"/>
        <w:kinsoku/>
        <w:wordWrap/>
        <w:topLinePunct w:val="0"/>
        <w:autoSpaceDE/>
        <w:autoSpaceDN/>
        <w:bidi w:val="0"/>
        <w:spacing w:line="576"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2.强化政治监督，在践行“两个维护”上当先锋。</w:t>
      </w:r>
      <w:r>
        <w:rPr>
          <w:rFonts w:hint="eastAsia" w:ascii="仿宋_GB2312" w:hAnsi="仿宋_GB2312" w:eastAsia="仿宋_GB2312" w:cs="仿宋_GB2312"/>
          <w:color w:val="000000" w:themeColor="text1"/>
          <w:sz w:val="32"/>
          <w:szCs w:val="32"/>
          <w14:textFill>
            <w14:solidFill>
              <w14:schemeClr w14:val="tx1"/>
            </w14:solidFill>
          </w14:textFill>
        </w:rPr>
        <w:t>围绕“国之大者”，聚焦大熊猫国家公园宝兴片区建设、灾后恢复重建和县城功能疏解等中心任务，推进政治监督具体化、精准化、常态化。</w:t>
      </w:r>
    </w:p>
    <w:p>
      <w:pPr>
        <w:keepNext w:val="0"/>
        <w:keepLines w:val="0"/>
        <w:pageBreakBefore w:val="0"/>
        <w:kinsoku/>
        <w:wordWrap/>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3.抓实专项整治，在纠治不正之风上勇担当。</w:t>
      </w:r>
      <w:r>
        <w:rPr>
          <w:rFonts w:hint="eastAsia" w:ascii="仿宋_GB2312" w:hAnsi="仿宋_GB2312" w:eastAsia="仿宋_GB2312" w:cs="仿宋_GB2312"/>
          <w:color w:val="000000" w:themeColor="text1"/>
          <w:sz w:val="32"/>
          <w:szCs w:val="32"/>
          <w14:textFill>
            <w14:solidFill>
              <w14:schemeClr w14:val="tx1"/>
            </w14:solidFill>
          </w14:textFill>
        </w:rPr>
        <w:t>一是狠抓作风建设。聚焦中央八项规定精神落实，开展监督检查。二是狠抓专项整治。聚焦乡村振兴领域不正之风和腐败问题、“廉洁重建、阳光同行”专项监督等20个省、市专项整治，加强组织协调，优化配置监督力量，人民群众幸福感、满意度不断增强。</w:t>
      </w:r>
    </w:p>
    <w:p>
      <w:pPr>
        <w:keepNext w:val="0"/>
        <w:keepLines w:val="0"/>
        <w:pageBreakBefore w:val="0"/>
        <w:kinsoku/>
        <w:wordWrap/>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4.突出政治巡察，在促改促建促治上增实效。</w:t>
      </w:r>
      <w:r>
        <w:rPr>
          <w:rFonts w:hint="eastAsia" w:ascii="仿宋_GB2312" w:hAnsi="仿宋_GB2312" w:eastAsia="仿宋_GB2312" w:cs="仿宋_GB2312"/>
          <w:color w:val="000000" w:themeColor="text1"/>
          <w:sz w:val="32"/>
          <w:szCs w:val="32"/>
          <w14:textFill>
            <w14:solidFill>
              <w14:schemeClr w14:val="tx1"/>
            </w14:solidFill>
          </w14:textFill>
        </w:rPr>
        <w:t>一是严守巡察政治责任。二是落实巡察全覆盖要求。</w:t>
      </w:r>
    </w:p>
    <w:p>
      <w:pPr>
        <w:keepNext w:val="0"/>
        <w:keepLines w:val="0"/>
        <w:pageBreakBefore w:val="0"/>
        <w:kinsoku/>
        <w:wordWrap/>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5.坚持主动出击，在提升办案质效上求突破。</w:t>
      </w:r>
      <w:r>
        <w:rPr>
          <w:rFonts w:hint="eastAsia" w:ascii="仿宋_GB2312" w:hAnsi="仿宋_GB2312" w:eastAsia="仿宋_GB2312" w:cs="仿宋_GB2312"/>
          <w:color w:val="000000" w:themeColor="text1"/>
          <w:sz w:val="32"/>
          <w:szCs w:val="32"/>
          <w14:textFill>
            <w14:solidFill>
              <w14:schemeClr w14:val="tx1"/>
            </w14:solidFill>
          </w14:textFill>
        </w:rPr>
        <w:t>一是坚持“一严到底”战略定力。更有章法、更加主动打好反腐败斗争攻坚战持久战，审查调查四项主要指标均大幅提升或优化。二是深入开展以案促改。持续优化工作方法、完善工作机制，针对查处的沈雷等严重违纪违法案，一体推进案发单位及相关领域改、建、治，推动案件办理“全周期”管理。三是创新开展廉洁教育。设置两条廉洁教育“专线”，分批次组织全县党员干部参加“沉浸式”廉洁教育。</w:t>
      </w:r>
    </w:p>
    <w:p>
      <w:pPr>
        <w:keepNext w:val="0"/>
        <w:keepLines w:val="0"/>
        <w:pageBreakBefore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6.勇于自我革命，在锻造铁军队伍上强发力。</w:t>
      </w:r>
      <w:r>
        <w:rPr>
          <w:rFonts w:hint="eastAsia" w:ascii="仿宋_GB2312" w:hAnsi="仿宋_GB2312" w:eastAsia="仿宋_GB2312" w:cs="仿宋_GB2312"/>
          <w:color w:val="000000" w:themeColor="text1"/>
          <w:sz w:val="32"/>
          <w:szCs w:val="32"/>
          <w14:textFill>
            <w14:solidFill>
              <w14:schemeClr w14:val="tx1"/>
            </w14:solidFill>
          </w14:textFill>
        </w:rPr>
        <w:t>一是推动学习教育入脑入心，注重“第一议题”专题学、分层分级集中学、系统全面自主学、丰富载体践行学、廉洁教育浸润学，推动党员干部真正把学习习近平新时代中国特色社会主义思想作为人生追求、生活习惯、工作常态。二是推动检视整治取得实效，全过程开展“5+2+2”专项整治。三是推动清理门户从严从实，坚持刀刃向内，成立专班、安排专人对涉及纪检监察干部问题线索进行大起底。四是推动主责主业提质增效，坚持两手抓、两促进，把教育整顿同主题教育有机结合，在县委坚强领导下，深耕主责主业，政治监督、专项整治等工作有力有序有效推进。</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Times New Roman Regular" w:hAnsi="Times New Roman Regular" w:eastAsia="黑体" w:cs="Times New Roman Regular"/>
          <w:color w:val="000000" w:themeColor="text1"/>
          <w:sz w:val="32"/>
          <w:szCs w:val="32"/>
          <w:shd w:val="clear" w:color="auto" w:fill="FFFFFF"/>
          <w:lang w:val="zh-CN"/>
          <w14:textFill>
            <w14:solidFill>
              <w14:schemeClr w14:val="tx1"/>
            </w14:solidFill>
          </w14:textFill>
        </w:rPr>
      </w:pPr>
      <w:r>
        <w:rPr>
          <w:rFonts w:ascii="Times New Roman Regular" w:hAnsi="Times New Roman Regular" w:eastAsia="黑体" w:cs="Times New Roman Regular"/>
          <w:color w:val="000000" w:themeColor="text1"/>
          <w:sz w:val="32"/>
          <w:szCs w:val="32"/>
          <w:shd w:val="clear" w:color="auto" w:fill="FFFFFF"/>
          <w:lang w:val="zh-CN"/>
          <w14:textFill>
            <w14:solidFill>
              <w14:schemeClr w14:val="tx1"/>
            </w14:solidFill>
          </w14:textFill>
        </w:rPr>
        <w:t>二、预算编制及执行情况</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（一）预算编制情况</w:t>
      </w:r>
    </w:p>
    <w:p>
      <w:pPr>
        <w:keepNext w:val="0"/>
        <w:keepLines w:val="0"/>
        <w:pageBreakBefore w:val="0"/>
        <w:widowControl/>
        <w:kinsoku/>
        <w:wordWrap/>
        <w:topLinePunct w:val="0"/>
        <w:autoSpaceDE/>
        <w:autoSpaceDN/>
        <w:bidi w:val="0"/>
        <w:spacing w:line="576" w:lineRule="exact"/>
        <w:ind w:firstLine="640" w:firstLineChars="200"/>
        <w:contextualSpacing/>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中共宝兴县纪律检查委员会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2023年收入预算1630.14万元，其中基本支出收入预算为1525.4万元；项目支出收入预算为104.74万元。2023年支出预算1630.14万元，其中基本支出预算为1525.4万元；项目支出预算为104.74万元。</w:t>
      </w:r>
    </w:p>
    <w:p>
      <w:pPr>
        <w:keepNext w:val="0"/>
        <w:keepLines w:val="0"/>
        <w:pageBreakBefore w:val="0"/>
        <w:widowControl/>
        <w:numPr>
          <w:ilvl w:val="0"/>
          <w:numId w:val="4"/>
        </w:numPr>
        <w:kinsoku/>
        <w:wordWrap/>
        <w:topLinePunct w:val="0"/>
        <w:autoSpaceDE/>
        <w:autoSpaceDN/>
        <w:bidi w:val="0"/>
        <w:spacing w:line="576" w:lineRule="exact"/>
        <w:ind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预算执行情况</w:t>
      </w:r>
    </w:p>
    <w:p>
      <w:pPr>
        <w:keepNext w:val="0"/>
        <w:keepLines w:val="0"/>
        <w:pageBreakBefore w:val="0"/>
        <w:kinsoku/>
        <w:wordWrap/>
        <w:topLinePunct w:val="0"/>
        <w:autoSpaceDE/>
        <w:autoSpaceDN/>
        <w:bidi w:val="0"/>
        <w:snapToGrid w:val="0"/>
        <w:spacing w:line="576" w:lineRule="exact"/>
        <w:ind w:firstLine="640" w:firstLineChars="200"/>
        <w:textAlignment w:val="auto"/>
        <w:rPr>
          <w:rFonts w:hint="eastAsia" w:ascii="黑体" w:hAnsi="黑体" w:eastAsia="仿宋_GB2312" w:cs="黑体"/>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中共宝兴县纪律检查委员会</w:t>
      </w:r>
      <w:r>
        <w:rPr>
          <w:rFonts w:hint="eastAsia" w:ascii="仿宋_GB2312" w:hAnsi="仿宋_GB2312" w:eastAsia="仿宋_GB2312" w:cs="仿宋_GB2312"/>
          <w:color w:val="000000" w:themeColor="text1"/>
          <w:sz w:val="32"/>
          <w:szCs w:val="32"/>
          <w14:textFill>
            <w14:solidFill>
              <w14:schemeClr w14:val="tx1"/>
            </w14:solidFill>
          </w14:textFill>
        </w:rPr>
        <w:t>年度预算执行情况为1778.12万元，其中基本支出1538.52万元，项目支出</w:t>
      </w:r>
      <w:r>
        <w:rPr>
          <w:rFonts w:ascii="仿宋_GB2312" w:hAnsi="仿宋_GB2312" w:eastAsia="仿宋_GB2312" w:cs="仿宋_GB2312"/>
          <w:color w:val="000000" w:themeColor="text1"/>
          <w:sz w:val="32"/>
          <w:szCs w:val="32"/>
          <w14:textFill>
            <w14:solidFill>
              <w14:schemeClr w14:val="tx1"/>
            </w14:solidFill>
          </w14:textFill>
        </w:rPr>
        <w:t>258.04</w:t>
      </w:r>
      <w:r>
        <w:rPr>
          <w:rFonts w:hint="eastAsia" w:ascii="仿宋_GB2312" w:hAnsi="仿宋_GB2312" w:eastAsia="仿宋_GB2312" w:cs="仿宋_GB2312"/>
          <w:color w:val="000000" w:themeColor="text1"/>
          <w:sz w:val="32"/>
          <w:szCs w:val="32"/>
          <w14:textFill>
            <w14:solidFill>
              <w14:schemeClr w14:val="tx1"/>
            </w14:solidFill>
          </w14:textFill>
        </w:rPr>
        <w:t>万元，具体项目支出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执行情况</w:t>
      </w:r>
      <w:r>
        <w:rPr>
          <w:rFonts w:hint="eastAsia" w:ascii="仿宋_GB2312" w:hAnsi="仿宋_GB2312" w:eastAsia="仿宋_GB2312" w:cs="仿宋_GB2312"/>
          <w:color w:val="000000" w:themeColor="text1"/>
          <w:sz w:val="32"/>
          <w:szCs w:val="32"/>
          <w14:textFill>
            <w14:solidFill>
              <w14:schemeClr w14:val="tx1"/>
            </w14:solidFill>
          </w14:textFill>
        </w:rPr>
        <w:t>详见下表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widowControl w:val="0"/>
        <w:spacing w:after="120"/>
        <w:ind w:left="0" w:leftChars="0" w:firstLine="0" w:firstLineChars="0"/>
        <w:jc w:val="cente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2"/>
          <w:sz w:val="32"/>
          <w:szCs w:val="32"/>
          <w:shd w:val="clear" w:color="auto" w:fill="FFFFFF"/>
          <w:lang w:val="en-US" w:eastAsia="zh-CN" w:bidi="ar-SA"/>
          <w14:textFill>
            <w14:solidFill>
              <w14:schemeClr w14:val="tx1"/>
            </w14:solidFill>
          </w14:textFill>
        </w:rPr>
        <w:t>项目支出执行情况表</w:t>
      </w:r>
    </w:p>
    <w:p>
      <w:pPr>
        <w:widowControl w:val="0"/>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Regular" w:hAnsi="Times New Roman Regular" w:eastAsia="宋体" w:cs="Times New Roman Regular"/>
          <w:color w:val="000000" w:themeColor="text1"/>
          <w:kern w:val="2"/>
          <w:sz w:val="21"/>
          <w:szCs w:val="32"/>
          <w:shd w:val="clear" w:color="auto" w:fill="FFFFFF"/>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单位：万元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1233"/>
        <w:gridCol w:w="1620"/>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年初预算数</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调整预算数</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决算数</w:t>
            </w:r>
          </w:p>
        </w:tc>
        <w:tc>
          <w:tcPr>
            <w:tcW w:w="1247" w:type="dxa"/>
            <w:vAlign w:val="center"/>
          </w:tcPr>
          <w:p>
            <w:pPr>
              <w:snapToGrid w:val="0"/>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纪检监察干部培训费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-0.07</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7.93</w:t>
            </w:r>
          </w:p>
        </w:tc>
        <w:tc>
          <w:tcPr>
            <w:tcW w:w="1247" w:type="dxa"/>
            <w:vAlign w:val="center"/>
          </w:tcPr>
          <w:p>
            <w:pPr>
              <w:snapToGrid w:val="0"/>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巡察保障经费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13.77</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13.77</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党风廉政建设社会评价工作</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-1.85</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6.25</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纪检监察审查调查经费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43.97</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-0.01</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43.96</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信息化建设</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20.25</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20.25</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大案要案经费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124.9</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124.9</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驻村生活补贴和保险费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1.46</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1.46</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乡镇谈话室建设</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成都大运会期间信访安保维稳工作经费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0.78</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0.78</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四川省廉洁文化基地VR展厅项目</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乡镇纪委办公费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3.15</w:t>
            </w:r>
          </w:p>
        </w:tc>
        <w:tc>
          <w:tcPr>
            <w:tcW w:w="1620" w:type="dxa"/>
            <w:vAlign w:val="center"/>
          </w:tcPr>
          <w:p>
            <w:pPr>
              <w:tabs>
                <w:tab w:val="left" w:pos="359"/>
                <w:tab w:val="center" w:pos="762"/>
              </w:tabs>
              <w:snapToGrid w:val="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3.15</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公务用车运行维护费</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代管资金</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0</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10.94</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10.94</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1"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合计</w:t>
            </w:r>
          </w:p>
        </w:tc>
        <w:tc>
          <w:tcPr>
            <w:tcW w:w="1233"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104.74</w:t>
            </w:r>
          </w:p>
        </w:tc>
        <w:tc>
          <w:tcPr>
            <w:tcW w:w="1620"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156.45</w:t>
            </w:r>
          </w:p>
        </w:tc>
        <w:tc>
          <w:tcPr>
            <w:tcW w:w="1247" w:type="dxa"/>
            <w:vAlign w:val="center"/>
          </w:tcPr>
          <w:p>
            <w:pPr>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258.04</w:t>
            </w:r>
          </w:p>
        </w:tc>
        <w:tc>
          <w:tcPr>
            <w:tcW w:w="1247" w:type="dxa"/>
            <w:vAlign w:val="center"/>
          </w:tcPr>
          <w:p>
            <w:pPr>
              <w:snapToGrid w:val="0"/>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w:t>
            </w:r>
          </w:p>
        </w:tc>
      </w:tr>
    </w:tbl>
    <w:p>
      <w:pPr>
        <w:widowControl/>
        <w:spacing w:line="560" w:lineRule="exact"/>
        <w:ind w:firstLine="640" w:firstLineChars="200"/>
        <w:contextualSpacing/>
        <w:rPr>
          <w:rFonts w:ascii="Times New Roman Regular" w:hAnsi="Times New Roman Regular" w:eastAsia="黑体" w:cs="Times New Roman Regular"/>
          <w:color w:val="000000" w:themeColor="text1"/>
          <w:sz w:val="32"/>
          <w:szCs w:val="32"/>
          <w:shd w:val="clear" w:color="auto" w:fill="FFFFFF"/>
          <w:lang w:val="zh-CN"/>
          <w14:textFill>
            <w14:solidFill>
              <w14:schemeClr w14:val="tx1"/>
            </w14:solidFill>
          </w14:textFill>
        </w:rPr>
      </w:pPr>
      <w:r>
        <w:rPr>
          <w:rFonts w:ascii="Times New Roman Regular" w:hAnsi="Times New Roman Regular" w:eastAsia="黑体" w:cs="Times New Roman Regular"/>
          <w:color w:val="000000" w:themeColor="text1"/>
          <w:sz w:val="32"/>
          <w:szCs w:val="32"/>
          <w:shd w:val="clear" w:color="auto" w:fill="FFFFFF"/>
          <w:lang w:val="zh-CN"/>
          <w14:textFill>
            <w14:solidFill>
              <w14:schemeClr w14:val="tx1"/>
            </w14:solidFill>
          </w14:textFill>
        </w:rPr>
        <w:t>三、评价结论</w:t>
      </w:r>
    </w:p>
    <w:p>
      <w:pPr>
        <w:widowControl/>
        <w:spacing w:line="560" w:lineRule="exact"/>
        <w:ind w:firstLine="640" w:firstLineChars="200"/>
        <w:contextualSpacing/>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（一）简述部门整体支出绩效目标完成情况</w:t>
      </w:r>
    </w:p>
    <w:p>
      <w:pPr>
        <w:widowControl/>
        <w:spacing w:line="560" w:lineRule="exact"/>
        <w:ind w:firstLine="640" w:firstLineChars="200"/>
        <w:contextualSpacing/>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1.人员类项目绩效分析</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部门绩效目标制定:根据在职在编人员核定数编报人员工资、五险一金，对政府核准的编制外临聘人员按照县上核定金额申报预算资金；目标实现：达到足额“保工资、保五险一金”，不多申报也不漏申报；支出控制：按月及时支付到位，不拖欠支付；执行进度：按月支付资金；预算完成情况：预算足额完成，中途有人员调动实行财政统一结算预算资金；资金结余率（低效无效率）和违规记录：无。2023年，人员类项目保证了全县纪检监察干部的基本支出，该项目完成率达100%。</w:t>
      </w:r>
    </w:p>
    <w:p>
      <w:pPr>
        <w:widowControl/>
        <w:spacing w:line="560" w:lineRule="exact"/>
        <w:ind w:firstLine="640" w:firstLineChars="200"/>
        <w:contextualSpacing/>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2.运转类项目绩效分析</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部门绩效目标制定:根据在职在编人员核定数编报人员办公经费；目标实现：达到正常开展工作“保运转”，做到尽量节俭办公；支出控制：根据办公运转需要及时支付到位；执行进度：根据工作开展情况支付资金；预算完成情况：预算足额完成；资金结余率（低效无效率）和违规记录：无。2023年运转类项目人员类项目保证了全县纪检监察干部的公用经费支出，如办公费、邮电费、培训费等，该项目完成率达100%。</w:t>
      </w:r>
    </w:p>
    <w:p>
      <w:pPr>
        <w:widowControl/>
        <w:spacing w:line="560" w:lineRule="exact"/>
        <w:ind w:firstLine="640" w:firstLineChars="200"/>
        <w:contextualSpacing/>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3.特定目标类项目绩效分析</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shd w:val="clear" w:color="auto" w:fill="FFFFFF"/>
          <w:lang w:val="zh-CN"/>
          <w14:textFill>
            <w14:solidFill>
              <w14:schemeClr w14:val="tx1"/>
            </w14:solidFill>
          </w14:textFill>
        </w:rPr>
        <w:t>部门绩效目标制定：</w:t>
      </w:r>
      <w:r>
        <w:rPr>
          <w:rFonts w:hint="eastAsia" w:ascii="仿宋_GB2312" w:hAnsi="仿宋" w:eastAsia="仿宋_GB2312" w:cs="仿宋_GB2312"/>
          <w:color w:val="000000" w:themeColor="text1"/>
          <w:sz w:val="32"/>
          <w:szCs w:val="32"/>
          <w14:textFill>
            <w14:solidFill>
              <w14:schemeClr w14:val="tx1"/>
            </w14:solidFill>
          </w14:textFill>
        </w:rPr>
        <w:t>2023年，县纪委监委根据实际开展工作的需要申报了公务车运行维护、乡镇纪委办公费及纪检津贴、党风廉政建设社会评价基层调查经费、纪检监察审查调查经费等项目。目标实现：保障全县纪检监察工作正常运行；支出控制：根据纪检监察工作开展执行情况及时支付资金。执行进度：项目完成一项支付一项。预算完成情况：预算足额完成。资金结余率（低效无效率）和违规记录：无。</w:t>
      </w:r>
    </w:p>
    <w:p>
      <w:pPr>
        <w:widowControl/>
        <w:spacing w:line="560" w:lineRule="exact"/>
        <w:ind w:left="420" w:leftChars="200"/>
        <w:contextualSpacing/>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（二）</w:t>
      </w: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说明绩效自评得分情况及简述评价结论</w:t>
      </w:r>
    </w:p>
    <w:p>
      <w:pPr>
        <w:spacing w:line="560" w:lineRule="exact"/>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2023年，县委坚定以习近平新时代中国特色社会主义思想为指导，认真学习贯彻党的二十大精神和习近平总书记来川视察重要指示精神，牢牢扛起管党治党政治责任，坚定不移推进全面从严治党，全县党风廉政建设和反腐败工作取得新成效。在市纪委监委和县委坚强领导下，县纪委监委全面落实二十届中央纪委二次全会、省纪委十二届二次全会和市纪委五届三次全会部署安排，充分发挥监督保障执行、促进完善发展作用，扎实开展学习贯彻习近平新时代中国特色社会主义思想主题教育和纪检监察干部队伍教育整顿，坚定不移正风肃纪反腐，全县纪检监察工作高质量发展取得新成效。</w:t>
      </w:r>
    </w:p>
    <w:p>
      <w:pPr>
        <w:spacing w:line="560" w:lineRule="exact"/>
        <w:ind w:firstLine="640" w:firstLineChars="200"/>
        <w:rPr>
          <w:rStyle w:val="22"/>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对照《2023年度县级部门整体绩效评价指标体系》设定的绩效指标和计分标准，中共宝兴县纪律检查委员会</w:t>
      </w:r>
      <w:r>
        <w:rPr>
          <w:rFonts w:hint="eastAsia" w:ascii="仿宋_GB2312" w:hAnsi="仿宋" w:eastAsia="仿宋_GB2312" w:cs="仿宋_GB2312"/>
          <w:color w:val="000000" w:themeColor="text1"/>
          <w:sz w:val="32"/>
          <w:szCs w:val="32"/>
          <w:lang w:val="en-US" w:eastAsia="zh-CN"/>
          <w14:textFill>
            <w14:solidFill>
              <w14:schemeClr w14:val="tx1"/>
            </w14:solidFill>
          </w14:textFill>
        </w:rPr>
        <w:t>2023年度部门整体支出绩效自我评价综合得分</w:t>
      </w:r>
      <w:r>
        <w:rPr>
          <w:rFonts w:hint="eastAsia" w:ascii="仿宋_GB2312" w:hAnsi="仿宋" w:eastAsia="仿宋_GB2312" w:cs="仿宋_GB2312"/>
          <w:color w:val="000000" w:themeColor="text1"/>
          <w:sz w:val="32"/>
          <w:szCs w:val="32"/>
          <w14:textFill>
            <w14:solidFill>
              <w14:schemeClr w14:val="tx1"/>
            </w14:solidFill>
          </w14:textFill>
        </w:rPr>
        <w:t>9</w:t>
      </w:r>
      <w:r>
        <w:rPr>
          <w:rFonts w:hint="eastAsia" w:ascii="仿宋_GB2312" w:hAnsi="仿宋" w:eastAsia="仿宋_GB2312" w:cs="仿宋_GB2312"/>
          <w:color w:val="000000" w:themeColor="text1"/>
          <w:sz w:val="32"/>
          <w:szCs w:val="32"/>
          <w:lang w:val="en-US" w:eastAsia="zh-CN"/>
          <w14:textFill>
            <w14:solidFill>
              <w14:schemeClr w14:val="tx1"/>
            </w14:solidFill>
          </w14:textFill>
        </w:rPr>
        <w:t>7</w:t>
      </w:r>
      <w:r>
        <w:rPr>
          <w:rFonts w:hint="eastAsia" w:ascii="仿宋_GB2312" w:hAnsi="仿宋" w:eastAsia="仿宋_GB2312" w:cs="仿宋_GB2312"/>
          <w:color w:val="000000" w:themeColor="text1"/>
          <w:sz w:val="32"/>
          <w:szCs w:val="32"/>
          <w14:textFill>
            <w14:solidFill>
              <w14:schemeClr w14:val="tx1"/>
            </w14:solidFill>
          </w14:textFill>
        </w:rPr>
        <w:t>分</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中共宝兴县纪律检查委员会</w:t>
      </w:r>
      <w:r>
        <w:rPr>
          <w:rFonts w:hint="eastAsia" w:ascii="仿宋_GB2312" w:hAnsi="仿宋" w:eastAsia="仿宋_GB2312" w:cs="仿宋_GB2312"/>
          <w:color w:val="000000" w:themeColor="text1"/>
          <w:sz w:val="32"/>
          <w:szCs w:val="32"/>
          <w:lang w:eastAsia="zh-CN"/>
          <w14:textFill>
            <w14:solidFill>
              <w14:schemeClr w14:val="tx1"/>
            </w14:solidFill>
          </w14:textFill>
        </w:rPr>
        <w:t>部门整体支出绩效总体较好。</w:t>
      </w:r>
    </w:p>
    <w:p>
      <w:pPr>
        <w:widowControl/>
        <w:spacing w:line="560" w:lineRule="exact"/>
        <w:ind w:firstLine="640" w:firstLineChars="200"/>
        <w:contextualSpacing/>
        <w:rPr>
          <w:rFonts w:ascii="Times New Roman Regular" w:hAnsi="Times New Roman Regular" w:eastAsia="黑体" w:cs="Times New Roman Regular"/>
          <w:b w:val="0"/>
          <w:bCs w:val="0"/>
          <w:color w:val="000000" w:themeColor="text1"/>
          <w:sz w:val="32"/>
          <w:szCs w:val="32"/>
          <w:shd w:val="clear" w:color="auto" w:fill="FFFFFF"/>
          <w14:textFill>
            <w14:solidFill>
              <w14:schemeClr w14:val="tx1"/>
            </w14:solidFill>
          </w14:textFill>
        </w:rPr>
      </w:pPr>
      <w:r>
        <w:rPr>
          <w:rFonts w:ascii="Times New Roman Regular" w:hAnsi="Times New Roman Regular" w:eastAsia="黑体" w:cs="Times New Roman Regular"/>
          <w:b w:val="0"/>
          <w:bCs w:val="0"/>
          <w:color w:val="000000" w:themeColor="text1"/>
          <w:sz w:val="32"/>
          <w:szCs w:val="32"/>
          <w:shd w:val="clear" w:color="auto" w:fill="FFFFFF"/>
          <w14:textFill>
            <w14:solidFill>
              <w14:schemeClr w14:val="tx1"/>
            </w14:solidFill>
          </w14:textFill>
        </w:rPr>
        <w:t>四、基本运行绩效分析</w:t>
      </w:r>
    </w:p>
    <w:p>
      <w:pPr>
        <w:widowControl/>
        <w:spacing w:line="560" w:lineRule="exact"/>
        <w:ind w:firstLine="640" w:firstLineChars="200"/>
        <w:contextualSpacing/>
        <w:rPr>
          <w:rFonts w:ascii="Times New Roman Regular" w:hAnsi="Times New Roman Regular" w:eastAsia="楷体_GB2312" w:cs="Times New Roman Regular"/>
          <w:b w:val="0"/>
          <w:bCs w:val="0"/>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b w:val="0"/>
          <w:bCs w:val="0"/>
          <w:color w:val="000000" w:themeColor="text1"/>
          <w:sz w:val="32"/>
          <w:szCs w:val="32"/>
          <w:shd w:val="clear" w:color="auto" w:fill="FFFFFF"/>
          <w14:textFill>
            <w14:solidFill>
              <w14:schemeClr w14:val="tx1"/>
            </w14:solidFill>
          </w14:textFill>
        </w:rPr>
        <w:t>（一）预算管理。</w:t>
      </w:r>
    </w:p>
    <w:p>
      <w:pPr>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640" w:firstLineChars="200"/>
        <w:jc w:val="both"/>
        <w:textAlignment w:val="auto"/>
        <w:outlineLvl w:val="9"/>
        <w:rPr>
          <w:rFonts w:hint="eastAsia" w:ascii="仿宋_GB2312" w:hAnsi="仿宋"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_GB2312"/>
          <w:color w:val="000000" w:themeColor="text1"/>
          <w:kern w:val="2"/>
          <w:sz w:val="32"/>
          <w:szCs w:val="32"/>
          <w:lang w:val="en-US" w:eastAsia="zh-CN" w:bidi="ar-SA"/>
          <w14:textFill>
            <w14:solidFill>
              <w14:schemeClr w14:val="tx1"/>
            </w14:solidFill>
          </w14:textFill>
        </w:rPr>
        <w:t>1.我单位在预算编制过程中，充分考虑了部门职能、工作任务和实际需求，结合历史数据，制定科学合理的预算方案。在预算编制过程中，注重公开透明，广泛征求各股室意见，确保预算的合理性和可行性，并按要求开展项目排序、定期清理、滚动管理。</w:t>
      </w:r>
    </w:p>
    <w:p>
      <w:pPr>
        <w:widowControl/>
        <w:numPr>
          <w:ilvl w:val="0"/>
          <w:numId w:val="5"/>
        </w:numPr>
        <w:spacing w:line="560" w:lineRule="exact"/>
        <w:ind w:firstLine="640" w:firstLineChars="200"/>
        <w:contextualSpacing/>
        <w:rPr>
          <w:rFonts w:ascii="Times New Roman Regular" w:hAnsi="Times New Roman Regular" w:eastAsia="仿宋_GB2312" w:cs="Times New Roman Regular"/>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财</w:t>
      </w:r>
      <w:r>
        <w:rPr>
          <w:rFonts w:ascii="Times New Roman Regular" w:hAnsi="Times New Roman Regular" w:eastAsia="仿宋_GB2312" w:cs="Times New Roman Regular"/>
          <w:color w:val="000000" w:themeColor="text1"/>
          <w:sz w:val="32"/>
          <w:szCs w:val="32"/>
          <w:shd w:val="clear" w:color="auto" w:fill="FFFFFF"/>
          <w14:textFill>
            <w14:solidFill>
              <w14:schemeClr w14:val="tx1"/>
            </w14:solidFill>
          </w14:textFill>
        </w:rPr>
        <w:t>政部门年终预算执行进度及年度中执行进度通报情况。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2023年，我单位各项支出均按照预算计划进行，未出现超支或挪用现象。同时，我单位加强了对预算执行的监督和检查，确保预算资金的有效利用。</w:t>
      </w:r>
      <w:r>
        <w:rPr>
          <w:rFonts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财政部门</w:t>
      </w:r>
      <w:r>
        <w:rPr>
          <w:rFonts w:hint="eastAsia"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对我单位</w:t>
      </w:r>
      <w:r>
        <w:rPr>
          <w:rFonts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年终预算执行进度及年度中执行进度</w:t>
      </w:r>
      <w:r>
        <w:rPr>
          <w:rFonts w:hint="eastAsia"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无</w:t>
      </w:r>
      <w:r>
        <w:rPr>
          <w:rFonts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通报情况</w:t>
      </w:r>
      <w:r>
        <w:rPr>
          <w:rFonts w:hint="eastAsia"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w:t>
      </w:r>
    </w:p>
    <w:p>
      <w:pPr>
        <w:widowControl/>
        <w:numPr>
          <w:ilvl w:val="0"/>
          <w:numId w:val="5"/>
        </w:numPr>
        <w:spacing w:line="560" w:lineRule="exact"/>
        <w:ind w:firstLine="640" w:firstLineChars="200"/>
        <w:contextualSpacing/>
        <w:rPr>
          <w:rFonts w:ascii="Times New Roman Regular" w:hAnsi="Times New Roman Regular" w:eastAsia="仿宋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仿宋_GB2312" w:cs="Times New Roman Regular"/>
          <w:color w:val="000000" w:themeColor="text1"/>
          <w:sz w:val="32"/>
          <w:szCs w:val="32"/>
          <w:shd w:val="clear" w:color="auto" w:fill="FFFFFF"/>
          <w14:textFill>
            <w14:solidFill>
              <w14:schemeClr w14:val="tx1"/>
            </w14:solidFill>
          </w14:textFill>
        </w:rPr>
        <w:t>本部门（单位）一般性支出控制情况。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2023年，我单位一般性支出包括“三公”经费、</w:t>
      </w:r>
      <w:r>
        <w:rPr>
          <w:rFonts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差旅</w:t>
      </w:r>
      <w:r>
        <w:rPr>
          <w:rFonts w:hint="eastAsia" w:ascii="Times New Roman Regular" w:hAnsi="Times New Roman Regular" w:eastAsia="仿宋_GB2312" w:cs="Times New Roman Regular"/>
          <w:color w:val="000000" w:themeColor="text1"/>
          <w:kern w:val="2"/>
          <w:sz w:val="32"/>
          <w:szCs w:val="32"/>
          <w:shd w:val="clear" w:color="auto" w:fill="FFFFFF"/>
          <w:lang w:val="en-US" w:eastAsia="zh-CN" w:bidi="ar-SA"/>
          <w14:textFill>
            <w14:solidFill>
              <w14:schemeClr w14:val="tx1"/>
            </w14:solidFill>
          </w14:textFill>
        </w:rPr>
        <w:t>费、会议费、培训费等支出情况，详见下表：（单位：万元）</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346"/>
        <w:gridCol w:w="1510"/>
        <w:gridCol w:w="1510"/>
        <w:gridCol w:w="15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部门支出经济分类</w:t>
            </w:r>
          </w:p>
        </w:tc>
        <w:tc>
          <w:tcPr>
            <w:tcW w:w="1346"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年初预算数</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调整预算数</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预算执行数</w:t>
            </w:r>
          </w:p>
        </w:tc>
        <w:tc>
          <w:tcPr>
            <w:tcW w:w="151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2023年决算数</w:t>
            </w: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2022年决算数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公务接待费</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1.87</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-0.74</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1.13</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1.13</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公务用车运行维护费</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7.5</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0.47</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7.97</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7.97</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差旅费</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44.57</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38.19</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82.76</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82.76</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16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会议费</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1.8</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-0.46</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1.34</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1.34</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培训费</w:t>
            </w:r>
          </w:p>
        </w:tc>
        <w:tc>
          <w:tcPr>
            <w:tcW w:w="13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8</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0.07</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7.93</w:t>
            </w:r>
          </w:p>
        </w:tc>
        <w:tc>
          <w:tcPr>
            <w:tcW w:w="15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7.93</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left"/>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与上年度对比，只有会议费和培训费有所增加，是因为外出培训和会议增加。</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contextualSpacing/>
        <w:textAlignment w:val="auto"/>
        <w:rPr>
          <w:rFonts w:ascii="Times New Roman Regular" w:hAnsi="Times New Roman Regular" w:eastAsia="仿宋_GB2312" w:cs="Times New Roman Regular"/>
          <w:color w:val="000000" w:themeColor="text1"/>
          <w:sz w:val="32"/>
          <w:szCs w:val="32"/>
          <w:highlight w:val="none"/>
          <w:shd w:val="clear" w:color="auto" w:fill="FFFFFF"/>
          <w14:textFill>
            <w14:solidFill>
              <w14:schemeClr w14:val="tx1"/>
            </w14:solidFill>
          </w14:textFill>
        </w:rPr>
      </w:pPr>
      <w:r>
        <w:rPr>
          <w:rFonts w:ascii="Times New Roman Regular" w:hAnsi="Times New Roman Regular" w:eastAsia="仿宋_GB2312" w:cs="Times New Roman Regular"/>
          <w:color w:val="000000" w:themeColor="text1"/>
          <w:sz w:val="32"/>
          <w:szCs w:val="32"/>
          <w:highlight w:val="none"/>
          <w:shd w:val="clear" w:color="auto" w:fill="FFFFFF"/>
          <w14:textFill>
            <w14:solidFill>
              <w14:schemeClr w14:val="tx1"/>
            </w14:solidFill>
          </w14:textFill>
        </w:rPr>
        <w:t>本部门（单位）物业管理费使用情况。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Style w:val="22"/>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Style w:val="22"/>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2023年度无物业管理费支出。</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绩效管理。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我单位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绩效目标、事前绩效评估、绩效自行监控及重点监控、绩效自评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绩效结果应用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、信息公开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等全过程预算绩效管理工作均按照县财政要求开展。</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财务管理。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楷体_GB2312" w:cs="Times New Roman Regular"/>
          <w:color w:val="000000" w:themeColor="text1"/>
          <w:sz w:val="32"/>
          <w:szCs w:val="32"/>
          <w:shd w:val="clear" w:color="auto" w:fill="FFFFFF"/>
          <w:lang w:eastAsia="zh-CN"/>
          <w14:textFill>
            <w14:solidFill>
              <w14:schemeClr w14:val="tx1"/>
            </w14:solidFill>
          </w14:textFill>
        </w:rPr>
        <w:t>我单位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根据《中华人民共和国会计法》《中华人民共和国预算法》和县财政有关规定设立财务管理办法，并严格执行。</w:t>
      </w:r>
      <w:r>
        <w:rPr>
          <w:rFonts w:hint="eastAsia" w:ascii="Times New Roman Regular" w:hAnsi="Times New Roman Regular" w:eastAsia="仿宋_GB2312" w:cs="Times New Roman Regular"/>
          <w:color w:val="000000" w:themeColor="text1"/>
          <w:sz w:val="32"/>
          <w:szCs w:val="32"/>
          <w:shd w:val="clear" w:color="auto" w:fill="FFFFFF"/>
          <w14:textFill>
            <w14:solidFill>
              <w14:schemeClr w14:val="tx1"/>
            </w14:solidFill>
          </w14:textFill>
        </w:rPr>
        <w:t>严格按照县级部门预算编制通知和有关要求,预算编制准确,部门整体绩效目标编制完整、合理,项目绩效目标编制明确、量化。按规定及时分配中央、省级市级财力专项预算,按要求严格预算执行管理。及时足额将非税收入缴入财政国库。严格执行</w:t>
      </w:r>
      <w:r>
        <w:rPr>
          <w:rFonts w:hint="eastAsia" w:ascii="Times New Roman Regular" w:hAnsi="Times New Roman Regular" w:eastAsia="仿宋_GB2312" w:cs="Times New Roman Regular"/>
          <w:color w:val="000000" w:themeColor="text1"/>
          <w:sz w:val="32"/>
          <w:szCs w:val="32"/>
          <w:shd w:val="clear" w:color="auto" w:fill="FFFFFF"/>
          <w:lang w:eastAsia="zh-CN"/>
          <w14:textFill>
            <w14:solidFill>
              <w14:schemeClr w14:val="tx1"/>
            </w14:solidFill>
          </w14:textFill>
        </w:rPr>
        <w:t>“三公”经费</w:t>
      </w:r>
      <w:r>
        <w:rPr>
          <w:rFonts w:hint="eastAsia" w:ascii="Times New Roman Regular" w:hAnsi="Times New Roman Regular" w:eastAsia="仿宋_GB2312" w:cs="Times New Roman Regular"/>
          <w:color w:val="000000" w:themeColor="text1"/>
          <w:sz w:val="32"/>
          <w:szCs w:val="32"/>
          <w:shd w:val="clear" w:color="auto" w:fill="FFFFFF"/>
          <w14:textFill>
            <w14:solidFill>
              <w14:schemeClr w14:val="tx1"/>
            </w14:solidFill>
          </w14:textFill>
        </w:rPr>
        <w:t>预算。按要求及时公开预算、决算、绩效等信息。</w:t>
      </w:r>
      <w:r>
        <w:rPr>
          <w:rFonts w:hint="eastAsia" w:ascii="Times New Roman Regular" w:hAnsi="Times New Roman Regular" w:eastAsia="仿宋_GB2312" w:cs="Times New Roman Regular"/>
          <w:color w:val="000000" w:themeColor="text1"/>
          <w:sz w:val="32"/>
          <w:szCs w:val="32"/>
          <w:shd w:val="clear" w:color="auto" w:fill="FFFFFF"/>
          <w:lang w:val="en-US" w:eastAsia="zh-CN"/>
          <w14:textFill>
            <w14:solidFill>
              <w14:schemeClr w14:val="tx1"/>
            </w14:solidFill>
          </w14:textFill>
        </w:rPr>
        <w:t>根据实际发生的经济业务事项进行会计核算，填制会计凭证，登记会计账簿，编制财务会计报告。单位财务做到</w:t>
      </w:r>
      <w:bookmarkStart w:id="49" w:name="_GoBack"/>
      <w:bookmarkEnd w:id="49"/>
      <w:r>
        <w:rPr>
          <w:rFonts w:hint="eastAsia" w:ascii="Times New Roman Regular" w:hAnsi="Times New Roman Regular" w:eastAsia="仿宋_GB2312" w:cs="Times New Roman Regular"/>
          <w:color w:val="000000" w:themeColor="text1"/>
          <w:sz w:val="32"/>
          <w:szCs w:val="32"/>
          <w:shd w:val="clear" w:color="auto" w:fill="FFFFFF"/>
          <w:lang w:val="en-US" w:eastAsia="zh-CN"/>
          <w14:textFill>
            <w14:solidFill>
              <w14:schemeClr w14:val="tx1"/>
            </w14:solidFill>
          </w14:textFill>
        </w:rPr>
        <w:t>账账相符、账实相符、账表相符。</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政府采购管理。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pPr>
      <w:r>
        <w:rPr>
          <w:rFonts w:hint="eastAsia" w:ascii="Times New Roman Regular" w:hAnsi="Times New Roman Regular" w:eastAsia="仿宋_GB2312" w:cs="Times New Roman Regular"/>
          <w:color w:val="000000" w:themeColor="text1"/>
          <w:sz w:val="32"/>
          <w:szCs w:val="32"/>
          <w:shd w:val="clear" w:color="auto" w:fill="FFFFFF"/>
          <w:lang w:val="en-US" w:eastAsia="zh-CN"/>
          <w14:textFill>
            <w14:solidFill>
              <w14:schemeClr w14:val="tx1"/>
            </w14:solidFill>
          </w14:textFill>
        </w:rPr>
        <w:t>我单位严格按照县财政采购管理制度，极力控制采购成本，根据采购预算，按时、按需进行采购。不断完善采购制度进一步规范我单位采购行为，加强我单位采购管</w:t>
      </w:r>
      <w:r>
        <w:rPr>
          <w:rFonts w:hint="default" w:ascii="Times New Roman Regular" w:hAnsi="Times New Roman Regular" w:eastAsia="仿宋_GB2312" w:cs="Times New Roman Regular"/>
          <w:color w:val="000000" w:themeColor="text1"/>
          <w:sz w:val="32"/>
          <w:szCs w:val="32"/>
          <w:shd w:val="clear" w:color="auto" w:fill="FFFFFF"/>
          <w:lang w:val="en-US" w:eastAsia="zh-CN"/>
          <w14:textFill>
            <w14:solidFill>
              <w14:schemeClr w14:val="tx1"/>
            </w14:solidFill>
          </w14:textFill>
        </w:rPr>
        <w:t>理工作，有效防控采购业务活动风险，提高采购业务的规范性、科学性和准确性</w:t>
      </w:r>
      <w:r>
        <w:rPr>
          <w:rFonts w:hint="eastAsia" w:ascii="Times New Roman Regular" w:hAnsi="Times New Roman Regular" w:eastAsia="仿宋_GB2312" w:cs="Times New Roman Regular"/>
          <w:color w:val="000000" w:themeColor="text1"/>
          <w:sz w:val="32"/>
          <w:szCs w:val="32"/>
          <w:shd w:val="clear" w:color="auto" w:fill="FFFFFF"/>
          <w:lang w:val="en-US" w:eastAsia="zh-CN"/>
          <w14:textFill>
            <w14:solidFill>
              <w14:schemeClr w14:val="tx1"/>
            </w14:solidFill>
          </w14:textFill>
        </w:rPr>
        <w:t>。</w:t>
      </w:r>
    </w:p>
    <w:p>
      <w:pPr>
        <w:keepNext w:val="0"/>
        <w:keepLines w:val="0"/>
        <w:pageBreakBefore w:val="0"/>
        <w:widowControl/>
        <w:numPr>
          <w:ilvl w:val="0"/>
          <w:numId w:val="6"/>
        </w:numPr>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cs="Times New Roman" w:hAnsiTheme="minorEastAsia"/>
          <w:color w:val="000000" w:themeColor="text1"/>
          <w:sz w:val="32"/>
          <w:szCs w:val="32"/>
          <w14:textFill>
            <w14:solidFill>
              <w14:schemeClr w14:val="tx1"/>
            </w14:solidFill>
          </w14:textFill>
        </w:rPr>
      </w:pPr>
      <w:r>
        <w:rPr>
          <w:rFonts w:ascii="Times New Roman Regular" w:hAnsi="Times New Roman Regular" w:eastAsia="楷体_GB2312" w:cs="Times New Roman Regular"/>
          <w:color w:val="000000" w:themeColor="text1"/>
          <w:sz w:val="32"/>
          <w:szCs w:val="32"/>
          <w:shd w:val="clear" w:color="auto" w:fill="FFFFFF"/>
          <w14:textFill>
            <w14:solidFill>
              <w14:schemeClr w14:val="tx1"/>
            </w14:solidFill>
          </w14:textFill>
        </w:rPr>
        <w:t>资产管理。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contextualSpacing/>
        <w:textAlignment w:val="auto"/>
        <w:rPr>
          <w:rFonts w:ascii="仿宋_GB2312" w:eastAsia="仿宋_GB2312" w:cs="Times New Roman" w:hAnsiTheme="minorEastAsia"/>
          <w:color w:val="000000" w:themeColor="text1"/>
          <w:sz w:val="32"/>
          <w:szCs w:val="32"/>
          <w14:textFill>
            <w14:solidFill>
              <w14:schemeClr w14:val="tx1"/>
            </w14:solidFill>
          </w14:textFill>
        </w:rPr>
      </w:pPr>
      <w:r>
        <w:rPr>
          <w:rFonts w:hint="eastAsia" w:ascii="仿宋_GB2312" w:eastAsia="仿宋_GB2312" w:cs="Times New Roman" w:hAnsiTheme="minorEastAsia"/>
          <w:color w:val="000000" w:themeColor="text1"/>
          <w:sz w:val="32"/>
          <w:szCs w:val="32"/>
          <w14:textFill>
            <w14:solidFill>
              <w14:schemeClr w14:val="tx1"/>
            </w14:solidFill>
          </w14:textFill>
        </w:rPr>
        <w:t>截至2023年12月31日，我单位资产总额（账面净值）83.02万元。</w:t>
      </w:r>
      <w:r>
        <w:rPr>
          <w:rFonts w:hint="eastAsia" w:ascii="仿宋_GB2312" w:hAnsi="楷体" w:eastAsia="仿宋_GB2312" w:cs="Times New Roman"/>
          <w:color w:val="000000" w:themeColor="text1"/>
          <w:kern w:val="0"/>
          <w:sz w:val="32"/>
          <w:szCs w:val="32"/>
          <w:lang w:eastAsia="zh-CN"/>
          <w14:textFill>
            <w14:solidFill>
              <w14:schemeClr w14:val="tx1"/>
            </w14:solidFill>
          </w14:textFill>
        </w:rPr>
        <w:t>在资产管理方面，一是</w:t>
      </w:r>
      <w:r>
        <w:rPr>
          <w:rFonts w:hint="eastAsia" w:ascii="仿宋_GB2312" w:hAnsi="楷体" w:eastAsia="仿宋_GB2312" w:cs="Times New Roman"/>
          <w:color w:val="000000" w:themeColor="text1"/>
          <w:kern w:val="0"/>
          <w:sz w:val="32"/>
          <w:szCs w:val="32"/>
          <w14:textFill>
            <w14:solidFill>
              <w14:schemeClr w14:val="tx1"/>
            </w14:solidFill>
          </w14:textFill>
        </w:rPr>
        <w:t>贯彻落实《行政事业性国有资产管理条例》和《四川省行政事业性国有资产管理办法》文件精神，明确了工作职责与工作要求，做到规范管理、科学统筹，不断提高资产使用效率。</w:t>
      </w:r>
      <w:r>
        <w:rPr>
          <w:rFonts w:hint="eastAsia" w:ascii="仿宋_GB2312" w:hAnsi="楷体" w:eastAsia="仿宋_GB2312" w:cs="Times New Roman"/>
          <w:color w:val="000000" w:themeColor="text1"/>
          <w:kern w:val="0"/>
          <w:sz w:val="32"/>
          <w:szCs w:val="32"/>
          <w:lang w:eastAsia="zh-CN"/>
          <w14:textFill>
            <w14:solidFill>
              <w14:schemeClr w14:val="tx1"/>
            </w14:solidFill>
          </w14:textFill>
        </w:rPr>
        <w:t>二是</w:t>
      </w:r>
      <w:r>
        <w:rPr>
          <w:rFonts w:hint="eastAsia" w:ascii="仿宋_GB2312" w:eastAsia="仿宋_GB2312" w:cs="Times New Roman" w:hAnsiTheme="minorEastAsia"/>
          <w:color w:val="000000" w:themeColor="text1"/>
          <w:sz w:val="32"/>
          <w:szCs w:val="32"/>
          <w14:textFill>
            <w14:solidFill>
              <w14:schemeClr w14:val="tx1"/>
            </w14:solidFill>
          </w14:textFill>
        </w:rPr>
        <w:t>完善国有资产监督制度，依法规范管理</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w:t>
      </w:r>
      <w:r>
        <w:rPr>
          <w:rFonts w:hint="eastAsia" w:ascii="仿宋_GB2312" w:eastAsia="仿宋_GB2312" w:cs="Times New Roman" w:hAnsiTheme="minorEastAsia"/>
          <w:color w:val="000000" w:themeColor="text1"/>
          <w:sz w:val="32"/>
          <w:szCs w:val="32"/>
          <w14:textFill>
            <w14:solidFill>
              <w14:schemeClr w14:val="tx1"/>
            </w14:solidFill>
          </w14:textFill>
        </w:rPr>
        <w:t>加强基础建设，落实责任，确保国有资产安全完整。</w:t>
      </w:r>
      <w:r>
        <w:rPr>
          <w:rFonts w:hint="eastAsia" w:ascii="仿宋_GB2312" w:eastAsia="仿宋_GB2312" w:cs="Times New Roman" w:hAnsiTheme="minorEastAsia"/>
          <w:color w:val="000000" w:themeColor="text1"/>
          <w:sz w:val="32"/>
          <w:szCs w:val="32"/>
          <w:lang w:eastAsia="zh-CN"/>
          <w14:textFill>
            <w14:solidFill>
              <w14:schemeClr w14:val="tx1"/>
            </w14:solidFill>
          </w14:textFill>
        </w:rPr>
        <w:t>三是</w:t>
      </w:r>
      <w:r>
        <w:rPr>
          <w:rFonts w:hint="eastAsia" w:ascii="仿宋_GB2312" w:eastAsia="仿宋_GB2312" w:cs="Times New Roman" w:hAnsiTheme="minorEastAsia"/>
          <w:color w:val="000000" w:themeColor="text1"/>
          <w:sz w:val="32"/>
          <w:szCs w:val="32"/>
          <w14:textFill>
            <w14:solidFill>
              <w14:schemeClr w14:val="tx1"/>
            </w14:solidFill>
          </w14:textFill>
        </w:rPr>
        <w:t>加强资产财务核算工作、资产台账登记等基础工作。同时，在四川省行政事业单位资产管理信息系统内做好资产的卡片管理、使用、配置、处置等工作，以及报表的报送以及清查工作。</w:t>
      </w:r>
    </w:p>
    <w:p>
      <w:pPr>
        <w:keepNext w:val="0"/>
        <w:keepLines w:val="0"/>
        <w:pageBreakBefore w:val="0"/>
        <w:widowControl/>
        <w:numPr>
          <w:ilvl w:val="0"/>
          <w:numId w:val="7"/>
        </w:numPr>
        <w:kinsoku/>
        <w:wordWrap/>
        <w:overflowPunct/>
        <w:topLinePunct w:val="0"/>
        <w:autoSpaceDE/>
        <w:autoSpaceDN/>
        <w:bidi w:val="0"/>
        <w:adjustRightInd/>
        <w:snapToGrid/>
        <w:spacing w:line="560" w:lineRule="exact"/>
        <w:ind w:firstLine="320" w:firstLineChars="100"/>
        <w:contextualSpacing/>
        <w:textAlignment w:val="auto"/>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t>重点履职绩效分析</w:t>
      </w:r>
    </w:p>
    <w:tbl>
      <w:tblPr>
        <w:tblStyle w:val="19"/>
        <w:tblpPr w:leftFromText="180" w:rightFromText="180" w:vertAnchor="text" w:horzAnchor="page" w:tblpX="1582" w:tblpY="41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88"/>
        <w:gridCol w:w="288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pPr>
              <w:snapToGrid w:val="0"/>
              <w:spacing w:line="52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序号</w:t>
            </w:r>
          </w:p>
        </w:tc>
        <w:tc>
          <w:tcPr>
            <w:tcW w:w="990" w:type="pct"/>
          </w:tcPr>
          <w:p>
            <w:pPr>
              <w:snapToGrid w:val="0"/>
              <w:spacing w:line="52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项目名称</w:t>
            </w:r>
          </w:p>
        </w:tc>
        <w:tc>
          <w:tcPr>
            <w:tcW w:w="1689" w:type="pct"/>
          </w:tcPr>
          <w:p>
            <w:pPr>
              <w:snapToGrid w:val="0"/>
              <w:spacing w:line="52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项目绩效计划内容</w:t>
            </w:r>
          </w:p>
        </w:tc>
        <w:tc>
          <w:tcPr>
            <w:tcW w:w="1892" w:type="pct"/>
          </w:tcPr>
          <w:p>
            <w:pPr>
              <w:snapToGrid w:val="0"/>
              <w:spacing w:line="520" w:lineRule="exact"/>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项目绩效完成情况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snapToGrid w:val="0"/>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1</w:t>
            </w:r>
          </w:p>
        </w:tc>
        <w:tc>
          <w:tcPr>
            <w:tcW w:w="990"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纪检监察审查调查经费</w:t>
            </w:r>
          </w:p>
        </w:tc>
        <w:tc>
          <w:tcPr>
            <w:tcW w:w="1689"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强化政治监督，在践行“两个维护”上当先锋。</w:t>
            </w:r>
          </w:p>
        </w:tc>
        <w:tc>
          <w:tcPr>
            <w:tcW w:w="1892" w:type="pct"/>
          </w:tcPr>
          <w:p>
            <w:pPr>
              <w:snapToGrid w:val="0"/>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围绕“国之大者”，聚焦大熊猫国家公园宝兴片区建设、灾后恢复重建和县城功能疏解等中心任务，推进政治监督具体化、精准化、常态化.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snapToGrid w:val="0"/>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w:t>
            </w:r>
          </w:p>
        </w:tc>
        <w:tc>
          <w:tcPr>
            <w:tcW w:w="990"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巡察保障经费</w:t>
            </w:r>
          </w:p>
        </w:tc>
        <w:tc>
          <w:tcPr>
            <w:tcW w:w="1689"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深化政治巡察，全面彰显巡察利剑作用。</w:t>
            </w:r>
          </w:p>
        </w:tc>
        <w:tc>
          <w:tcPr>
            <w:tcW w:w="1892" w:type="pct"/>
          </w:tcPr>
          <w:p>
            <w:pPr>
              <w:snapToGrid w:val="0"/>
              <w:spacing w:line="240" w:lineRule="atLeas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全年开展两轮常规巡察，共巡察9个单位（部门）、3个乡（镇）、15个村（社区），截至今年年底</w:t>
            </w:r>
            <w:r>
              <w:rPr>
                <w:rFonts w:hint="eastAsia" w:ascii="仿宋_GB2312" w:hAnsi="仿宋_GB2312" w:eastAsia="仿宋_GB2312" w:cs="仿宋_GB2312"/>
                <w:color w:val="000000" w:themeColor="text1"/>
                <w:sz w:val="22"/>
                <w:szCs w:val="22"/>
                <w:lang w:eastAsia="zh-CN"/>
                <w14:textFill>
                  <w14:solidFill>
                    <w14:schemeClr w14:val="tx1"/>
                  </w14:solidFill>
                </w14:textFill>
              </w:rPr>
              <w:t>已完成</w:t>
            </w:r>
            <w:r>
              <w:rPr>
                <w:rFonts w:hint="eastAsia" w:ascii="仿宋_GB2312" w:hAnsi="仿宋_GB2312" w:eastAsia="仿宋_GB2312" w:cs="仿宋_GB2312"/>
                <w:color w:val="000000" w:themeColor="text1"/>
                <w:sz w:val="22"/>
                <w:szCs w:val="22"/>
                <w14:textFill>
                  <w14:solidFill>
                    <w14:schemeClr w14:val="tx1"/>
                  </w14:solidFill>
                </w14:textFill>
              </w:rPr>
              <w:t>被巡对象总数的52.6%。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snapToGrid w:val="0"/>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3</w:t>
            </w:r>
          </w:p>
        </w:tc>
        <w:tc>
          <w:tcPr>
            <w:tcW w:w="990"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县纪委监委培训费</w:t>
            </w:r>
          </w:p>
        </w:tc>
        <w:tc>
          <w:tcPr>
            <w:tcW w:w="1689"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提升纪检监察干部履职能力和业务水平。</w:t>
            </w:r>
          </w:p>
        </w:tc>
        <w:tc>
          <w:tcPr>
            <w:tcW w:w="1892" w:type="pct"/>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加强干部队伍建设，选派干部到省、市纪委顶岗锻炼，抽调名派驻机构和乡（镇）纪委干部到县纪委监委跟班轮训。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27" w:type="pct"/>
            <w:vAlign w:val="center"/>
          </w:tcPr>
          <w:p>
            <w:pPr>
              <w:snapToGrid w:val="0"/>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w:t>
            </w:r>
          </w:p>
        </w:tc>
        <w:tc>
          <w:tcPr>
            <w:tcW w:w="990"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大案要案查处</w:t>
            </w:r>
          </w:p>
        </w:tc>
        <w:tc>
          <w:tcPr>
            <w:tcW w:w="1689"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营造风清气正政治生态，形成有力震慑。</w:t>
            </w:r>
          </w:p>
        </w:tc>
        <w:tc>
          <w:tcPr>
            <w:tcW w:w="1892" w:type="pct"/>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2023年，</w:t>
            </w:r>
            <w:r>
              <w:rPr>
                <w:rFonts w:hint="default" w:ascii="仿宋_GB2312" w:hAnsi="仿宋_GB2312" w:eastAsia="仿宋_GB2312" w:cs="仿宋_GB2312"/>
                <w:color w:val="000000" w:themeColor="text1"/>
                <w:sz w:val="22"/>
                <w:szCs w:val="22"/>
                <w:lang w:val="en-US" w:eastAsia="zh-CN"/>
                <w14:textFill>
                  <w14:solidFill>
                    <w14:schemeClr w14:val="tx1"/>
                  </w14:solidFill>
                </w14:textFill>
              </w:rPr>
              <w:t>立案审查调查县管干部16件</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vAlign w:val="center"/>
          </w:tcPr>
          <w:p>
            <w:pPr>
              <w:snapToGrid w:val="0"/>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5</w:t>
            </w:r>
          </w:p>
        </w:tc>
        <w:tc>
          <w:tcPr>
            <w:tcW w:w="990"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党风廉政建设社会评价经费</w:t>
            </w:r>
          </w:p>
        </w:tc>
        <w:tc>
          <w:tcPr>
            <w:tcW w:w="1689"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强化作风建设，以严的主基调正风肃纪。</w:t>
            </w:r>
          </w:p>
        </w:tc>
        <w:tc>
          <w:tcPr>
            <w:tcW w:w="1892"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创新开展廉洁教育。设置两条廉洁教育“专线”，分批次组织全县800余名党员干部参加“沉浸式”廉洁教育。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7" w:type="pct"/>
            <w:vAlign w:val="center"/>
          </w:tcPr>
          <w:p>
            <w:pPr>
              <w:snapToGrid w:val="0"/>
              <w:jc w:val="cente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6</w:t>
            </w:r>
          </w:p>
        </w:tc>
        <w:tc>
          <w:tcPr>
            <w:tcW w:w="990"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信息化建设</w:t>
            </w:r>
          </w:p>
        </w:tc>
        <w:tc>
          <w:tcPr>
            <w:tcW w:w="1689" w:type="pct"/>
            <w:vAlign w:val="center"/>
          </w:tcPr>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按照要求纪检监察专网运行维护、网站维护、委托第三方开展纪检监察信息宣传等</w:t>
            </w:r>
          </w:p>
        </w:tc>
        <w:tc>
          <w:tcPr>
            <w:tcW w:w="1892" w:type="pct"/>
          </w:tcPr>
          <w:p>
            <w:pPr>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2023年保障了纪检系统内部文件的传输流转，确保涉密信息安全，进一步做好党风廉政建设、纪检监察系统意识形态和反腐败宣传工作，保障纪检监察工作高质量发展。</w:t>
            </w:r>
          </w:p>
          <w:p>
            <w:pPr>
              <w:snapToGrid w:val="0"/>
              <w:jc w:val="left"/>
              <w:rPr>
                <w:rFonts w:hint="eastAsia" w:ascii="仿宋_GB2312" w:hAnsi="仿宋_GB2312" w:eastAsia="仿宋_GB2312" w:cs="仿宋_GB2312"/>
                <w:color w:val="000000" w:themeColor="text1"/>
                <w:sz w:val="22"/>
                <w:szCs w:val="22"/>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cs="宋体"/>
          <w:color w:val="000000" w:themeColor="text1"/>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sz w:val="32"/>
          <w:szCs w:val="32"/>
          <w:shd w:val="clear" w:color="auto" w:fill="FFFFFF"/>
          <w14:textFill>
            <w14:solidFill>
              <w14:schemeClr w14:val="tx1"/>
            </w14:solidFill>
          </w14:textFill>
        </w:rPr>
        <w:t>202</w:t>
      </w:r>
      <w:r>
        <w:rPr>
          <w:rFonts w:ascii="仿宋_GB2312" w:hAnsi="宋体" w:eastAsia="仿宋_GB2312" w:cs="宋体"/>
          <w:color w:val="000000" w:themeColor="text1"/>
          <w:sz w:val="32"/>
          <w:szCs w:val="32"/>
          <w:shd w:val="clear" w:color="auto" w:fill="FFFFFF"/>
          <w14:textFill>
            <w14:solidFill>
              <w14:schemeClr w14:val="tx1"/>
            </w14:solidFill>
          </w14:textFill>
        </w:rPr>
        <w:t>3</w:t>
      </w:r>
      <w:r>
        <w:rPr>
          <w:rFonts w:hint="eastAsia" w:ascii="仿宋_GB2312" w:hAnsi="宋体" w:eastAsia="仿宋_GB2312" w:cs="宋体"/>
          <w:color w:val="000000" w:themeColor="text1"/>
          <w:sz w:val="32"/>
          <w:szCs w:val="32"/>
          <w:shd w:val="clear" w:color="auto" w:fill="FFFFFF"/>
          <w14:textFill>
            <w14:solidFill>
              <w14:schemeClr w14:val="tx1"/>
            </w14:solidFill>
          </w14:textFill>
        </w:rPr>
        <w:t>年县纪委监委</w:t>
      </w:r>
      <w:r>
        <w:rPr>
          <w:rFonts w:hint="eastAsia" w:ascii="仿宋_GB2312" w:hAnsi="宋体" w:eastAsia="仿宋_GB2312" w:cs="宋体"/>
          <w:color w:val="000000" w:themeColor="text1"/>
          <w:sz w:val="32"/>
          <w:szCs w:val="32"/>
          <w:shd w:val="clear" w:color="auto" w:fill="FFFFFF"/>
          <w:lang w:val="zh-CN"/>
          <w14:textFill>
            <w14:solidFill>
              <w14:schemeClr w14:val="tx1"/>
            </w14:solidFill>
          </w14:textFill>
        </w:rPr>
        <w:t>部门整体绩效目标完成情况较好，持续稳定地保证了“保工资、保运转、保运行”不打折扣执行到位；部门履职情况：人员工资、五险一金按月足额保障到位；节俭办公运行经费支出；预算项目资金按业务开展进度及时支付到位，保障纪检监察业务工作的开展。</w:t>
      </w:r>
    </w:p>
    <w:p>
      <w:pPr>
        <w:keepNext w:val="0"/>
        <w:keepLines w:val="0"/>
        <w:pageBreakBefore w:val="0"/>
        <w:widowControl/>
        <w:kinsoku/>
        <w:wordWrap/>
        <w:overflowPunct/>
        <w:topLinePunct w:val="0"/>
        <w:autoSpaceDE/>
        <w:autoSpaceDN/>
        <w:bidi w:val="0"/>
        <w:adjustRightInd/>
        <w:snapToGrid/>
        <w:spacing w:line="560" w:lineRule="exact"/>
        <w:ind w:firstLine="480" w:firstLineChars="150"/>
        <w:contextualSpacing/>
        <w:textAlignment w:val="auto"/>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pPr>
      <w:r>
        <w:rPr>
          <w:rFonts w:ascii="Times New Roman Regular" w:hAnsi="Times New Roman Regular" w:eastAsia="黑体" w:cs="Times New Roman Regular"/>
          <w:color w:val="000000" w:themeColor="text1"/>
          <w:sz w:val="32"/>
          <w:szCs w:val="32"/>
          <w:shd w:val="clear" w:color="auto" w:fill="FFFFFF"/>
          <w14:textFill>
            <w14:solidFill>
              <w14:schemeClr w14:val="tx1"/>
            </w14:solidFill>
          </w14:textFill>
        </w:rPr>
        <w:t>六、存在问题及改进措施</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color w:val="000000" w:themeColor="text1"/>
          <w:sz w:val="32"/>
          <w:szCs w:val="32"/>
          <w:shd w:val="clear" w:color="auto" w:fill="FFFFFF"/>
          <w14:textFill>
            <w14:solidFill>
              <w14:schemeClr w14:val="tx1"/>
            </w14:solidFill>
          </w14:textFill>
        </w:rPr>
        <w:t>（一）存在问题。</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color w:val="000000" w:themeColor="text1"/>
          <w:sz w:val="32"/>
          <w:szCs w:val="32"/>
          <w:shd w:val="clear" w:color="auto" w:fill="FFFFFF"/>
          <w14:textFill>
            <w14:solidFill>
              <w14:schemeClr w14:val="tx1"/>
            </w14:solidFill>
          </w14:textFill>
        </w:rPr>
        <w:t>一是预算编制准确性有待进一步提高；二是预算执行进度需进一步加快；三是绩效事前评估建设等方面需进一步完善和改进。</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color w:val="000000" w:themeColor="text1"/>
          <w:sz w:val="32"/>
          <w:szCs w:val="32"/>
          <w:shd w:val="clear" w:color="auto" w:fill="FFFFFF"/>
          <w:lang w:eastAsia="zh-CN"/>
          <w14:textFill>
            <w14:solidFill>
              <w14:schemeClr w14:val="tx1"/>
            </w14:solidFill>
          </w14:textFill>
        </w:rPr>
        <w:t>（二）</w:t>
      </w:r>
      <w:r>
        <w:rPr>
          <w:rFonts w:hint="eastAsia" w:ascii="仿宋_GB2312" w:hAnsi="宋体" w:eastAsia="仿宋_GB2312" w:cs="宋体"/>
          <w:color w:val="000000" w:themeColor="text1"/>
          <w:sz w:val="32"/>
          <w:szCs w:val="32"/>
          <w:shd w:val="clear" w:color="auto" w:fill="FFFFFF"/>
          <w14:textFill>
            <w14:solidFill>
              <w14:schemeClr w14:val="tx1"/>
            </w14:solidFill>
          </w14:textFill>
        </w:rPr>
        <w:t>改进建议。</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color w:val="000000" w:themeColor="text1"/>
          <w:sz w:val="32"/>
          <w:szCs w:val="32"/>
          <w:shd w:val="clear" w:color="auto" w:fill="FFFFFF"/>
          <w14:textFill>
            <w14:solidFill>
              <w14:schemeClr w14:val="tx1"/>
            </w14:solidFill>
          </w14:textFill>
        </w:rPr>
        <w:t>一是加强对基础数据分析研究，提高预算编制精准度。在以后年度预算编制过程中，要以上一年度预算执行情况和本年度单位年度目标以及有关支出绩效评价结果，认真细致地进行科学论证，严格进行预算编制，确保预算编制的准确性；二是加强预算执行管理，进行科学合理筹划，加快支出进度；三是加强预算绩效管理监督考核，强化绩效结果应用。</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jc w:val="center"/>
        <w:textAlignment w:val="auto"/>
        <w:rPr>
          <w:rFonts w:hint="default" w:ascii="仿宋_GB2312" w:hAnsi="宋体" w:eastAsia="仿宋_GB2312" w:cs="宋体"/>
          <w:color w:val="000000" w:themeColor="text1"/>
          <w:sz w:val="32"/>
          <w:szCs w:val="32"/>
          <w:shd w:val="clear" w:color="auto" w:fill="FFFFFF"/>
          <w14:textFill>
            <w14:solidFill>
              <w14:schemeClr w14:val="tx1"/>
            </w14:solidFill>
          </w14:textFill>
        </w:rPr>
      </w:pPr>
      <w:r>
        <w:rPr>
          <w:rFonts w:hint="eastAsia" w:ascii="仿宋_GB2312" w:hAnsi="宋体" w:eastAsia="仿宋_GB2312" w:cs="宋体"/>
          <w:color w:val="000000" w:themeColor="text1"/>
          <w:sz w:val="32"/>
          <w:szCs w:val="32"/>
          <w:shd w:val="clear" w:color="auto" w:fill="FFFFFF"/>
          <w:lang w:eastAsia="zh-CN"/>
          <w14:textFill>
            <w14:solidFill>
              <w14:schemeClr w14:val="tx1"/>
            </w14:solidFill>
          </w14:textFill>
        </w:rPr>
        <w:t>中共宝兴县纪委办公室部门</w:t>
      </w:r>
      <w:r>
        <w:rPr>
          <w:rFonts w:hint="default" w:ascii="仿宋_GB2312" w:hAnsi="宋体" w:eastAsia="仿宋_GB2312" w:cs="宋体"/>
          <w:color w:val="000000" w:themeColor="text1"/>
          <w:sz w:val="32"/>
          <w:szCs w:val="32"/>
          <w:shd w:val="clear" w:color="auto" w:fill="FFFFFF"/>
          <w14:textFill>
            <w14:solidFill>
              <w14:schemeClr w14:val="tx1"/>
            </w14:solidFill>
          </w14:textFill>
        </w:rPr>
        <w:t>2023年度整体</w:t>
      </w:r>
      <w:r>
        <w:rPr>
          <w:rFonts w:hint="eastAsia" w:ascii="仿宋_GB2312" w:hAnsi="宋体" w:eastAsia="仿宋_GB2312" w:cs="宋体"/>
          <w:color w:val="000000" w:themeColor="text1"/>
          <w:sz w:val="32"/>
          <w:szCs w:val="32"/>
          <w:shd w:val="clear" w:color="auto" w:fill="FFFFFF"/>
          <w:lang w:eastAsia="zh-CN"/>
          <w14:textFill>
            <w14:solidFill>
              <w14:schemeClr w14:val="tx1"/>
            </w14:solidFill>
          </w14:textFill>
        </w:rPr>
        <w:t>支出</w:t>
      </w:r>
      <w:r>
        <w:rPr>
          <w:rFonts w:hint="default" w:ascii="仿宋_GB2312" w:hAnsi="宋体" w:eastAsia="仿宋_GB2312" w:cs="宋体"/>
          <w:color w:val="000000" w:themeColor="text1"/>
          <w:sz w:val="32"/>
          <w:szCs w:val="32"/>
          <w:shd w:val="clear" w:color="auto" w:fill="FFFFFF"/>
          <w14:textFill>
            <w14:solidFill>
              <w14:schemeClr w14:val="tx1"/>
            </w14:solidFill>
          </w14:textFill>
        </w:rPr>
        <w:t>绩效评价指标体系</w:t>
      </w:r>
    </w:p>
    <w:tbl>
      <w:tblPr>
        <w:tblStyle w:val="40"/>
        <w:tblW w:w="501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9"/>
        <w:gridCol w:w="534"/>
        <w:gridCol w:w="874"/>
        <w:gridCol w:w="507"/>
        <w:gridCol w:w="636"/>
        <w:gridCol w:w="379"/>
        <w:gridCol w:w="2068"/>
        <w:gridCol w:w="2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一级指标</w:t>
            </w:r>
          </w:p>
        </w:tc>
        <w:tc>
          <w:tcPr>
            <w:tcW w:w="337"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二级指标</w:t>
            </w:r>
          </w:p>
        </w:tc>
        <w:tc>
          <w:tcPr>
            <w:tcW w:w="539"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三级指标</w:t>
            </w:r>
          </w:p>
        </w:tc>
        <w:tc>
          <w:tcPr>
            <w:tcW w:w="320"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分值</w:t>
            </w:r>
          </w:p>
        </w:tc>
        <w:tc>
          <w:tcPr>
            <w:tcW w:w="275"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自评得分</w:t>
            </w:r>
          </w:p>
        </w:tc>
        <w:tc>
          <w:tcPr>
            <w:tcW w:w="243"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扣分原因</w:t>
            </w:r>
          </w:p>
        </w:tc>
        <w:tc>
          <w:tcPr>
            <w:tcW w:w="1256"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指标解释</w:t>
            </w:r>
          </w:p>
        </w:tc>
        <w:tc>
          <w:tcPr>
            <w:tcW w:w="1742" w:type="pct"/>
            <w:vAlign w:val="center"/>
          </w:tcPr>
          <w:p>
            <w:pPr>
              <w:jc w:val="center"/>
              <w:rPr>
                <w:rFonts w:hint="default" w:ascii="Times New Roman Regular" w:hAnsi="Times New Roman Regular" w:eastAsia="仿宋_GB2312" w:cs="Times New Roman Regular"/>
                <w:b/>
                <w:bCs/>
                <w:szCs w:val="21"/>
              </w:rPr>
            </w:pPr>
            <w:r>
              <w:rPr>
                <w:rFonts w:hint="default" w:ascii="Times New Roman Regular" w:hAnsi="Times New Roman Regular" w:eastAsia="仿宋_GB2312" w:cs="Times New Roman Regular"/>
                <w:b/>
                <w:bCs/>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restar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（40分）</w:t>
            </w:r>
          </w:p>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基本运行</w:t>
            </w:r>
          </w:p>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绩效</w:t>
            </w:r>
          </w:p>
        </w:tc>
        <w:tc>
          <w:tcPr>
            <w:tcW w:w="337" w:type="pct"/>
            <w:vMerge w:val="restart"/>
            <w:tcBorders>
              <w:bottom w:val="nil"/>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预算管理（15分）</w:t>
            </w:r>
          </w:p>
        </w:tc>
        <w:tc>
          <w:tcPr>
            <w:tcW w:w="539"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预算编制规范性</w:t>
            </w:r>
          </w:p>
        </w:tc>
        <w:tc>
          <w:tcPr>
            <w:tcW w:w="320"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w:t>
            </w:r>
          </w:p>
        </w:tc>
        <w:tc>
          <w:tcPr>
            <w:tcW w:w="275" w:type="pct"/>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2</w:t>
            </w:r>
          </w:p>
        </w:tc>
        <w:tc>
          <w:tcPr>
            <w:tcW w:w="243" w:type="pct"/>
            <w:vAlign w:val="center"/>
          </w:tcPr>
          <w:p>
            <w:pPr>
              <w:jc w:val="center"/>
              <w:rPr>
                <w:rFonts w:hint="default" w:ascii="Times New Roman Regular" w:hAnsi="Times New Roman Regular" w:eastAsia="仿宋_GB2312" w:cs="Times New Roman Regular"/>
                <w:szCs w:val="21"/>
              </w:rPr>
            </w:pPr>
          </w:p>
        </w:tc>
        <w:tc>
          <w:tcPr>
            <w:tcW w:w="1256"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部门（单位）是否严格按照当年预算编制要求规范编制预算。</w:t>
            </w:r>
          </w:p>
        </w:tc>
        <w:tc>
          <w:tcPr>
            <w:tcW w:w="1742" w:type="pct"/>
            <w:vAlign w:val="center"/>
          </w:tcPr>
          <w:p>
            <w:pPr>
              <w:jc w:val="left"/>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tcBorders>
              <w:top w:val="nil"/>
              <w:bottom w:val="nil"/>
            </w:tcBorders>
            <w:vAlign w:val="center"/>
          </w:tcPr>
          <w:p>
            <w:pPr>
              <w:jc w:val="center"/>
              <w:rPr>
                <w:rFonts w:hint="default" w:ascii="Times New Roman Regular" w:hAnsi="Times New Roman Regular" w:eastAsia="仿宋_GB2312" w:cs="Times New Roman Regular"/>
                <w:szCs w:val="21"/>
              </w:rPr>
            </w:pPr>
          </w:p>
        </w:tc>
        <w:tc>
          <w:tcPr>
            <w:tcW w:w="539"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预算执行</w:t>
            </w:r>
          </w:p>
        </w:tc>
        <w:tc>
          <w:tcPr>
            <w:tcW w:w="320"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8</w:t>
            </w:r>
          </w:p>
        </w:tc>
        <w:tc>
          <w:tcPr>
            <w:tcW w:w="275" w:type="pct"/>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8</w:t>
            </w:r>
          </w:p>
        </w:tc>
        <w:tc>
          <w:tcPr>
            <w:tcW w:w="243" w:type="pct"/>
            <w:vAlign w:val="center"/>
          </w:tcPr>
          <w:p>
            <w:pPr>
              <w:jc w:val="center"/>
              <w:rPr>
                <w:rFonts w:hint="default" w:ascii="Times New Roman Regular" w:hAnsi="Times New Roman Regular" w:eastAsia="仿宋_GB2312" w:cs="Times New Roman Regular"/>
                <w:szCs w:val="21"/>
              </w:rPr>
            </w:pPr>
          </w:p>
        </w:tc>
        <w:tc>
          <w:tcPr>
            <w:tcW w:w="1256"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反映预算执行情况。</w:t>
            </w:r>
          </w:p>
        </w:tc>
        <w:tc>
          <w:tcPr>
            <w:tcW w:w="1742"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1.与年初绩效目标（96%）比，高于设定的绩效目标得4分，低于设定的绩效目标，每低1个百分点扣1分，直至扣完；</w:t>
            </w:r>
          </w:p>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2.根据县财政局预算执行情况通报结果，未上黑榜的，得4分，上1次黑榜扣2分，直至扣完。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tcBorders>
              <w:top w:val="nil"/>
            </w:tcBorders>
            <w:vAlign w:val="center"/>
          </w:tcPr>
          <w:p>
            <w:pPr>
              <w:jc w:val="center"/>
              <w:rPr>
                <w:rFonts w:hint="default" w:ascii="Times New Roman Regular" w:hAnsi="Times New Roman Regular" w:eastAsia="仿宋_GB2312" w:cs="Times New Roman Regular"/>
                <w:szCs w:val="21"/>
              </w:rPr>
            </w:pPr>
          </w:p>
        </w:tc>
        <w:tc>
          <w:tcPr>
            <w:tcW w:w="539"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一般性支出及物业管理费控制</w:t>
            </w:r>
          </w:p>
        </w:tc>
        <w:tc>
          <w:tcPr>
            <w:tcW w:w="320"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5</w:t>
            </w:r>
          </w:p>
        </w:tc>
        <w:tc>
          <w:tcPr>
            <w:tcW w:w="275" w:type="pct"/>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4</w:t>
            </w:r>
          </w:p>
        </w:tc>
        <w:tc>
          <w:tcPr>
            <w:tcW w:w="243" w:type="pct"/>
            <w:vAlign w:val="center"/>
          </w:tcPr>
          <w:p>
            <w:pPr>
              <w:jc w:val="center"/>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无物业管理费</w:t>
            </w:r>
          </w:p>
        </w:tc>
        <w:tc>
          <w:tcPr>
            <w:tcW w:w="1256"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反映部门（单位）一般性支出和物业管理费控制情况。</w:t>
            </w:r>
          </w:p>
        </w:tc>
        <w:tc>
          <w:tcPr>
            <w:tcW w:w="1742"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根据“三公”经费、会议、培训、差旅、办公设备购置、信息网络及软件购置更新和物业管理费对应经济科目数据，每发现一项决算数大于年初预算数扣1分，直至扣完。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restar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绩效管理（15分）</w:t>
            </w:r>
          </w:p>
        </w:tc>
        <w:tc>
          <w:tcPr>
            <w:tcW w:w="539"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绩效管理工作完成率</w:t>
            </w:r>
          </w:p>
        </w:tc>
        <w:tc>
          <w:tcPr>
            <w:tcW w:w="320"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3</w:t>
            </w:r>
          </w:p>
        </w:tc>
        <w:tc>
          <w:tcPr>
            <w:tcW w:w="275" w:type="pct"/>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3</w:t>
            </w:r>
          </w:p>
        </w:tc>
        <w:tc>
          <w:tcPr>
            <w:tcW w:w="243" w:type="pct"/>
            <w:vAlign w:val="center"/>
          </w:tcPr>
          <w:p>
            <w:pPr>
              <w:jc w:val="center"/>
              <w:rPr>
                <w:rFonts w:hint="default" w:ascii="Times New Roman Regular" w:hAnsi="Times New Roman Regular" w:eastAsia="仿宋_GB2312" w:cs="Times New Roman Regular"/>
                <w:szCs w:val="21"/>
              </w:rPr>
            </w:pPr>
          </w:p>
        </w:tc>
        <w:tc>
          <w:tcPr>
            <w:tcW w:w="1256"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考察部门绩效管理工作完成情况。绩效管理工作完成率=绩效管理各环节实际开展绩效管理项目的数量÷绩效管理各环节应开展绩效管理项目总数（分别为应开展绩效评估的项目数、应开展绩效监控的项目数、应开展绩效自评项目数）。</w:t>
            </w:r>
          </w:p>
        </w:tc>
        <w:tc>
          <w:tcPr>
            <w:tcW w:w="1742" w:type="pct"/>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1.绩效评估指标得分=绩效评估工作完成率×1分；</w:t>
            </w:r>
          </w:p>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2.绩效监控指标得分=绩效监控工作完成率×1分；</w:t>
            </w:r>
          </w:p>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3.绩效自评指标得分=绩效自评工作完成率×1分；</w:t>
            </w:r>
          </w:p>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（如无符合评估条件项目的，绩效监控和自评工作各占1.5分）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部门整体绩效目标制定</w:t>
            </w:r>
          </w:p>
        </w:tc>
        <w:tc>
          <w:tcPr>
            <w:tcW w:w="320" w:type="pct"/>
            <w:tcBorders>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3</w:t>
            </w:r>
          </w:p>
        </w:tc>
        <w:tc>
          <w:tcPr>
            <w:tcW w:w="275" w:type="pct"/>
            <w:tcBorders>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3</w:t>
            </w:r>
          </w:p>
        </w:tc>
        <w:tc>
          <w:tcPr>
            <w:tcW w:w="243" w:type="pct"/>
            <w:tcBorders>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部门整体绩效目标依据是否充分、符合客观实际，依据整体目标设置的绩效指标是否清晰、细化、可衡量；</w:t>
            </w:r>
            <w:r>
              <w:rPr>
                <w:rFonts w:hint="default" w:ascii="Times New Roman Regular" w:hAnsi="Times New Roman Regular" w:eastAsia="仿宋_GB2312" w:cs="Times New Roman Regular"/>
                <w:spacing w:val="-5"/>
                <w:szCs w:val="21"/>
              </w:rPr>
              <w:t>部门整体绩效目标是否随同部门预算提交局党组（委）会集体决策审议。</w:t>
            </w:r>
          </w:p>
        </w:tc>
        <w:tc>
          <w:tcPr>
            <w:tcW w:w="1742" w:type="pct"/>
            <w:tcBorders>
              <w:bottom w:val="single" w:color="auto" w:sz="4" w:space="0"/>
            </w:tcBorders>
            <w:vAlign w:val="center"/>
          </w:tcPr>
          <w:p>
            <w:pPr>
              <w:pStyle w:val="41"/>
              <w:spacing w:before="50" w:line="203" w:lineRule="auto"/>
              <w:ind w:left="38"/>
              <w:jc w:val="left"/>
              <w:rPr>
                <w:rFonts w:hint="default" w:ascii="Times New Roman Regular" w:hAnsi="Times New Roman Regular" w:eastAsia="仿宋_GB2312" w:cs="Times New Roman Regular"/>
                <w:lang w:eastAsia="zh-CN"/>
              </w:rPr>
            </w:pPr>
            <w:r>
              <w:rPr>
                <w:rFonts w:hint="default" w:ascii="Times New Roman Regular" w:hAnsi="Times New Roman Regular" w:eastAsia="仿宋_GB2312" w:cs="Times New Roman Regular"/>
                <w:lang w:eastAsia="zh-CN"/>
              </w:rPr>
              <w:t>1.主要考核是否将部门整体目标细化分解为具体工作目    标任务；具体目标任务是否通过量化、清晰、可衡量的指标值予以体现；是否与部门年度任务数或计划数相匹配</w:t>
            </w:r>
            <w:r>
              <w:rPr>
                <w:rFonts w:hint="default" w:ascii="Times New Roman Regular" w:hAnsi="Times New Roman Regular" w:eastAsia="仿宋_GB2312" w:cs="Times New Roman Regular"/>
                <w:spacing w:val="-7"/>
                <w:lang w:eastAsia="zh-CN"/>
              </w:rPr>
              <w:t>等。满分2分，发现一个问题扣0.5分</w:t>
            </w:r>
            <w:r>
              <w:rPr>
                <w:rFonts w:hint="default" w:ascii="Times New Roman Regular" w:hAnsi="Times New Roman Regular" w:eastAsia="仿宋_GB2312" w:cs="Times New Roman Regular"/>
                <w:spacing w:val="-30"/>
                <w:lang w:eastAsia="zh-CN"/>
              </w:rPr>
              <w:t xml:space="preserve"> </w:t>
            </w:r>
            <w:r>
              <w:rPr>
                <w:rFonts w:hint="default" w:ascii="Times New Roman Regular" w:hAnsi="Times New Roman Regular" w:eastAsia="仿宋_GB2312" w:cs="Times New Roman Regular"/>
                <w:spacing w:val="-7"/>
                <w:lang w:eastAsia="zh-CN"/>
              </w:rPr>
              <w:t>，直至扣完。</w:t>
            </w:r>
          </w:p>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pacing w:val="-4"/>
                <w:szCs w:val="21"/>
              </w:rPr>
              <w:t>2.部门整体及项目绩效目标未随同部门预算提交局党组</w:t>
            </w:r>
            <w:r>
              <w:rPr>
                <w:rFonts w:hint="default" w:ascii="Times New Roman Regular" w:hAnsi="Times New Roman Regular" w:eastAsia="仿宋_GB2312" w:cs="Times New Roman Regular"/>
                <w:spacing w:val="-5"/>
                <w:szCs w:val="21"/>
              </w:rPr>
              <w:t>（委）会集体决策审议，扣1分。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项目绩效目标制定</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2</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部门按要求开展绩效目标编制工作，绩效 指标是否清晰、细化、可衡量。</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部门自评时，按全部项目已编制绩效目标开展评价；发现一个问题扣0.5分，直至扣完。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绩效指标和标准体系建设</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2</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部门按照要求开展绩效指标和标准体系 建设。（以正式印发文件为准）</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开展该项工作且以正式文件印发的，得2分，未开展或未以正式文件印发的，不得分。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项目（专项）自评结果</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5</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5</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部门按要求开展自评工作，并提高自评质 量</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部门自评时，按开展自评项目（含专项）平均分换算本指标得分。指标得分=（自评项目（含专项）平均分÷100 ）×指标分值权重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restar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财务管理（4分）</w:t>
            </w: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管理制度健全性</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2</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重点考察部门（单位）为加强预算、绩效管理而制定的管理制度是否健全完整。</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是否已制定或具有预算绩效管理制度，相应制度应包括领导工作机制、责任分工、全过程管理要求，结果应用、整体目标、信息公开等内容，发现一个问题点扣0.5分。相关管理制度是否得到有效执行，存在1个问题扣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资金使用合规性</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2</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2</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部门（单位）使用预算资金是否符合相关 的预算财务管理制度的规定。</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是否符合国家财经法规和财务管理制度规定以及有关专   项资金管理办法的规定；资金的拨付是否有完整的审批程序和手续；项目的重大开支是否经过评估论证；是否符合部门预算批复的用途；是否存在截留、挤占、挪用、虚列支出等情况；是否有审计监督、财政检查等发现的违规违 纪问题。发现一个问题点扣1分。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政府采购管理（3分）</w:t>
            </w: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政府采购规范性</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3</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3</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考察政府采购项目的采购程序、采购方式的规范性。</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采购方式、程序中每一点不规范，扣1分，直至扣完。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资产管理（3分）</w:t>
            </w:r>
          </w:p>
        </w:tc>
        <w:tc>
          <w:tcPr>
            <w:tcW w:w="539"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行政事业国有资产管理绩效</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3</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3</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考察行政事业单位国有资产各环节的规范性及其效果。</w:t>
            </w:r>
          </w:p>
        </w:tc>
        <w:tc>
          <w:tcPr>
            <w:tcW w:w="1742" w:type="pct"/>
            <w:tcBorders>
              <w:top w:val="single" w:color="auto" w:sz="4" w:space="0"/>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根据《行政事业性国有资产管理绩效评价指标体系》得分换算。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restart"/>
            <w:vAlign w:val="center"/>
          </w:tcPr>
          <w:p>
            <w:pPr>
              <w:pStyle w:val="41"/>
              <w:spacing w:before="90" w:line="204" w:lineRule="auto"/>
              <w:ind w:left="82"/>
              <w:jc w:val="center"/>
              <w:rPr>
                <w:rFonts w:hint="default" w:ascii="Times New Roman Regular" w:hAnsi="Times New Roman Regular" w:eastAsia="仿宋_GB2312" w:cs="Times New Roman Regular"/>
              </w:rPr>
            </w:pPr>
            <w:r>
              <w:rPr>
                <w:rFonts w:hint="default" w:ascii="Times New Roman Regular" w:hAnsi="Times New Roman Regular" w:eastAsia="仿宋_GB2312" w:cs="Times New Roman Regular"/>
                <w:spacing w:val="-7"/>
              </w:rPr>
              <w:t>重点履职</w:t>
            </w:r>
          </w:p>
          <w:p>
            <w:pPr>
              <w:pStyle w:val="41"/>
              <w:spacing w:line="199" w:lineRule="auto"/>
              <w:ind w:left="79"/>
              <w:jc w:val="center"/>
              <w:rPr>
                <w:rFonts w:hint="default" w:ascii="Times New Roman Regular" w:hAnsi="Times New Roman Regular" w:eastAsia="仿宋_GB2312" w:cs="Times New Roman Regular"/>
              </w:rPr>
            </w:pPr>
            <w:r>
              <w:rPr>
                <w:rFonts w:hint="default" w:ascii="Times New Roman Regular" w:hAnsi="Times New Roman Regular" w:eastAsia="仿宋_GB2312" w:cs="Times New Roman Regular"/>
                <w:spacing w:val="-14"/>
              </w:rPr>
              <w:t>绩效（50</w:t>
            </w:r>
          </w:p>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pacing w:val="-4"/>
                <w:szCs w:val="21"/>
              </w:rPr>
              <w:t>分）</w:t>
            </w:r>
          </w:p>
        </w:tc>
        <w:tc>
          <w:tcPr>
            <w:tcW w:w="337" w:type="pct"/>
            <w:vMerge w:val="restart"/>
            <w:vAlign w:val="center"/>
          </w:tcPr>
          <w:p>
            <w:pPr>
              <w:pStyle w:val="41"/>
              <w:spacing w:before="90" w:line="203" w:lineRule="auto"/>
              <w:ind w:left="106"/>
              <w:jc w:val="center"/>
              <w:rPr>
                <w:rFonts w:hint="default" w:ascii="Times New Roman Regular" w:hAnsi="Times New Roman Regular" w:eastAsia="仿宋_GB2312" w:cs="Times New Roman Regular"/>
              </w:rPr>
            </w:pPr>
            <w:r>
              <w:rPr>
                <w:rFonts w:hint="default" w:ascii="Times New Roman Regular" w:hAnsi="Times New Roman Regular" w:eastAsia="仿宋_GB2312" w:cs="Times New Roman Regular"/>
                <w:spacing w:val="-3"/>
              </w:rPr>
              <w:t>重点任务一</w:t>
            </w:r>
          </w:p>
        </w:tc>
        <w:tc>
          <w:tcPr>
            <w:tcW w:w="539" w:type="pct"/>
            <w:tcBorders>
              <w:top w:val="single" w:color="auto" w:sz="4" w:space="0"/>
              <w:bottom w:val="single" w:color="auto" w:sz="4" w:space="0"/>
            </w:tcBorders>
            <w:vAlign w:val="center"/>
          </w:tcPr>
          <w:p>
            <w:pPr>
              <w:pStyle w:val="41"/>
              <w:spacing w:before="48" w:line="189" w:lineRule="auto"/>
              <w:ind w:left="28"/>
              <w:jc w:val="center"/>
              <w:rPr>
                <w:rFonts w:hint="default" w:ascii="Times New Roman Regular" w:hAnsi="Times New Roman Regular" w:eastAsia="仿宋_GB2312" w:cs="Times New Roman Regular"/>
                <w:kern w:val="2"/>
                <w:sz w:val="21"/>
                <w:szCs w:val="21"/>
                <w:lang w:val="en-US" w:eastAsia="zh-CN" w:bidi="ar-SA"/>
              </w:rPr>
            </w:pPr>
            <w:r>
              <w:rPr>
                <w:rFonts w:hint="eastAsia" w:ascii="Times New Roman Regular" w:hAnsi="Times New Roman Regular" w:eastAsia="仿宋_GB2312" w:cs="Times New Roman Regular"/>
                <w:kern w:val="2"/>
                <w:sz w:val="21"/>
                <w:szCs w:val="21"/>
                <w:lang w:val="en-US" w:eastAsia="zh-CN" w:bidi="ar-SA"/>
              </w:rPr>
              <w:t>拓展主题教育成果</w:t>
            </w:r>
          </w:p>
        </w:tc>
        <w:tc>
          <w:tcPr>
            <w:tcW w:w="320"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p>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p>
            <w:pPr>
              <w:jc w:val="center"/>
              <w:rPr>
                <w:rFonts w:hint="default" w:ascii="Times New Roman Regular" w:hAnsi="Times New Roman Regular" w:eastAsia="仿宋_GB2312" w:cs="Times New Roman Regular"/>
                <w:szCs w:val="21"/>
                <w:lang w:val="en-US" w:eastAsia="zh-CN"/>
              </w:rPr>
            </w:pPr>
          </w:p>
        </w:tc>
        <w:tc>
          <w:tcPr>
            <w:tcW w:w="275"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tc>
        <w:tc>
          <w:tcPr>
            <w:tcW w:w="243"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eastAsia="zh-CN"/>
              </w:rPr>
            </w:pPr>
          </w:p>
        </w:tc>
        <w:tc>
          <w:tcPr>
            <w:tcW w:w="1256" w:type="pct"/>
            <w:tcBorders>
              <w:top w:val="single" w:color="auto" w:sz="4" w:space="0"/>
              <w:bottom w:val="single" w:color="auto" w:sz="4" w:space="0"/>
            </w:tcBorders>
            <w:vAlign w:val="center"/>
          </w:tcPr>
          <w:p>
            <w:pPr>
              <w:jc w:val="left"/>
              <w:rPr>
                <w:rFonts w:hint="eastAsia" w:ascii="Times New Roman Regular" w:hAnsi="Times New Roman Regular" w:eastAsia="仿宋_GB2312" w:cs="Times New Roman Regular"/>
                <w:szCs w:val="21"/>
                <w:lang w:eastAsia="zh-CN"/>
              </w:rPr>
            </w:pPr>
            <w:r>
              <w:rPr>
                <w:rFonts w:hint="eastAsia" w:ascii="Times New Roman Regular" w:hAnsi="Times New Roman Regular" w:eastAsia="仿宋_GB2312" w:cs="Times New Roman Regular"/>
                <w:szCs w:val="21"/>
              </w:rPr>
              <w:t>把学习成果转化为正风肃纪反腐的实际成效</w:t>
            </w:r>
            <w:r>
              <w:rPr>
                <w:rFonts w:hint="eastAsia" w:ascii="Times New Roman Regular" w:hAnsi="Times New Roman Regular" w:eastAsia="仿宋_GB2312" w:cs="Times New Roman Regular"/>
                <w:szCs w:val="21"/>
                <w:lang w:eastAsia="zh-CN"/>
              </w:rPr>
              <w:t>，</w:t>
            </w:r>
            <w:r>
              <w:rPr>
                <w:rFonts w:hint="default" w:ascii="Times New Roman Regular" w:hAnsi="Times New Roman Regular" w:eastAsia="仿宋_GB2312" w:cs="Times New Roman Regular"/>
                <w:szCs w:val="21"/>
                <w:lang w:val="en-US" w:eastAsia="zh-CN"/>
              </w:rPr>
              <w:t>紧盯统筹安全和发展</w:t>
            </w:r>
            <w:r>
              <w:rPr>
                <w:rFonts w:hint="eastAsia" w:ascii="Times New Roman Regular" w:hAnsi="Times New Roman Regular" w:eastAsia="仿宋_GB2312" w:cs="Times New Roman Regular"/>
                <w:szCs w:val="21"/>
                <w:lang w:val="en-US" w:eastAsia="zh-CN"/>
              </w:rPr>
              <w:t>、</w:t>
            </w:r>
            <w:r>
              <w:rPr>
                <w:rFonts w:hint="default" w:ascii="Times New Roman Regular" w:hAnsi="Times New Roman Regular" w:eastAsia="仿宋_GB2312" w:cs="Times New Roman Regular"/>
                <w:szCs w:val="21"/>
                <w:lang w:val="en-US" w:eastAsia="zh-CN"/>
              </w:rPr>
              <w:t>县城功能疏解</w:t>
            </w:r>
            <w:r>
              <w:rPr>
                <w:rFonts w:hint="eastAsia" w:ascii="Times New Roman Regular" w:hAnsi="Times New Roman Regular" w:eastAsia="仿宋_GB2312" w:cs="Times New Roman Regular"/>
                <w:szCs w:val="21"/>
                <w:lang w:val="en-US" w:eastAsia="zh-CN"/>
              </w:rPr>
              <w:t>、城乡融合发展</w:t>
            </w:r>
            <w:r>
              <w:rPr>
                <w:rFonts w:hint="default" w:ascii="Times New Roman Regular" w:hAnsi="Times New Roman Regular" w:eastAsia="仿宋_GB2312" w:cs="Times New Roman Regular"/>
                <w:szCs w:val="21"/>
                <w:lang w:val="en-US" w:eastAsia="zh-CN"/>
              </w:rPr>
              <w:t>等重大决策部署</w:t>
            </w:r>
            <w:r>
              <w:rPr>
                <w:rFonts w:hint="eastAsia" w:ascii="Times New Roman Regular" w:hAnsi="Times New Roman Regular" w:eastAsia="仿宋_GB2312" w:cs="Times New Roman Regular"/>
                <w:szCs w:val="21"/>
                <w:lang w:val="en-US" w:eastAsia="zh-CN"/>
              </w:rPr>
              <w:t>，</w:t>
            </w:r>
            <w:r>
              <w:rPr>
                <w:rFonts w:hint="default" w:ascii="Times New Roman Regular" w:hAnsi="Times New Roman Regular" w:eastAsia="仿宋_GB2312" w:cs="Times New Roman Regular"/>
                <w:szCs w:val="21"/>
                <w:lang w:val="en-US" w:eastAsia="zh-CN"/>
              </w:rPr>
              <w:t>不断强化政治监督</w:t>
            </w:r>
            <w:r>
              <w:rPr>
                <w:rFonts w:hint="eastAsia" w:ascii="Times New Roman Regular" w:hAnsi="Times New Roman Regular" w:eastAsia="仿宋_GB2312" w:cs="Times New Roman Regular"/>
                <w:szCs w:val="21"/>
                <w:lang w:val="en-US" w:eastAsia="zh-CN"/>
              </w:rPr>
              <w:t>。</w:t>
            </w:r>
          </w:p>
        </w:tc>
        <w:tc>
          <w:tcPr>
            <w:tcW w:w="1742" w:type="pct"/>
            <w:vMerge w:val="restart"/>
            <w:tcBorders>
              <w:top w:val="single" w:color="auto" w:sz="4" w:space="0"/>
              <w:right w:val="single" w:color="auto" w:sz="4" w:space="0"/>
            </w:tcBorders>
            <w:vAlign w:val="center"/>
          </w:tcPr>
          <w:p>
            <w:pPr>
              <w:pStyle w:val="41"/>
              <w:spacing w:before="90" w:line="202" w:lineRule="auto"/>
              <w:ind w:left="28" w:right="7"/>
              <w:jc w:val="left"/>
              <w:rPr>
                <w:rFonts w:hint="default" w:ascii="Times New Roman Regular" w:hAnsi="Times New Roman Regular" w:eastAsia="仿宋_GB2312" w:cs="Times New Roman Regular"/>
                <w:lang w:eastAsia="zh-CN"/>
              </w:rPr>
            </w:pPr>
            <w:r>
              <w:rPr>
                <w:rFonts w:hint="default" w:ascii="Times New Roman Regular" w:hAnsi="Times New Roman Regular" w:eastAsia="仿宋_GB2312" w:cs="Times New Roman Regular"/>
                <w:spacing w:val="-7"/>
                <w:lang w:eastAsia="zh-CN"/>
              </w:rPr>
              <w:t>部门自评时，根据申报的整体绩效目标，根据任务重要性</w:t>
            </w:r>
            <w:r>
              <w:rPr>
                <w:rFonts w:hint="default" w:ascii="Times New Roman Regular" w:hAnsi="Times New Roman Regular" w:eastAsia="仿宋_GB2312" w:cs="Times New Roman Regular"/>
                <w:spacing w:val="-9"/>
                <w:lang w:eastAsia="zh-CN"/>
              </w:rPr>
              <w:t>在重点履职（50分）和满意度（10分）中分配分值。</w:t>
            </w:r>
          </w:p>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pacing w:val="-10"/>
                <w:szCs w:val="21"/>
              </w:rPr>
              <w:t>指标实际完成值低于目标值的，按完成比率计分，其中：</w:t>
            </w:r>
            <w:r>
              <w:rPr>
                <w:rFonts w:hint="default" w:ascii="Times New Roman Regular" w:hAnsi="Times New Roman Regular" w:eastAsia="仿宋_GB2312" w:cs="Times New Roman Regular"/>
                <w:spacing w:val="-8"/>
                <w:szCs w:val="21"/>
              </w:rPr>
              <w:t>完成比率低于70%的不得分；指标实际完成值高于目标值</w:t>
            </w:r>
            <w:r>
              <w:rPr>
                <w:rFonts w:hint="default" w:ascii="Times New Roman Regular" w:hAnsi="Times New Roman Regular" w:eastAsia="仿宋_GB2312" w:cs="Times New Roman Regular"/>
                <w:spacing w:val="-6"/>
                <w:szCs w:val="21"/>
              </w:rPr>
              <w:t>且未超过30%的得满分，超过目标值30%的不得分。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pStyle w:val="41"/>
              <w:spacing w:before="51" w:line="190" w:lineRule="auto"/>
              <w:ind w:left="28"/>
              <w:jc w:val="center"/>
              <w:rPr>
                <w:rFonts w:hint="default" w:ascii="Times New Roman Regular" w:hAnsi="Times New Roman Regular" w:eastAsia="仿宋_GB2312" w:cs="Times New Roman Regular"/>
                <w:kern w:val="2"/>
                <w:sz w:val="21"/>
                <w:szCs w:val="21"/>
                <w:lang w:val="en-US" w:eastAsia="zh-CN" w:bidi="ar-SA"/>
              </w:rPr>
            </w:pPr>
            <w:r>
              <w:rPr>
                <w:rFonts w:hint="eastAsia" w:ascii="Times New Roman Regular" w:hAnsi="Times New Roman Regular" w:eastAsia="仿宋_GB2312" w:cs="Times New Roman Regular"/>
                <w:kern w:val="2"/>
                <w:sz w:val="21"/>
                <w:szCs w:val="21"/>
                <w:lang w:val="en-US" w:eastAsia="zh-CN" w:bidi="ar-SA"/>
              </w:rPr>
              <w:t>深化巡视巡察</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tc>
        <w:tc>
          <w:tcPr>
            <w:tcW w:w="275"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tc>
        <w:tc>
          <w:tcPr>
            <w:tcW w:w="243" w:type="pct"/>
            <w:tcBorders>
              <w:top w:val="single" w:color="auto" w:sz="4" w:space="0"/>
              <w:bottom w:val="single" w:color="auto" w:sz="4" w:space="0"/>
            </w:tcBorders>
            <w:vAlign w:val="center"/>
          </w:tcPr>
          <w:p>
            <w:pPr>
              <w:jc w:val="both"/>
              <w:rPr>
                <w:rFonts w:hint="eastAsia" w:ascii="Times New Roman Regular" w:hAnsi="Times New Roman Regular" w:eastAsia="仿宋_GB2312" w:cs="Times New Roman Regular"/>
                <w:szCs w:val="21"/>
                <w:lang w:eastAsia="zh-CN"/>
              </w:rPr>
            </w:pPr>
          </w:p>
        </w:tc>
        <w:tc>
          <w:tcPr>
            <w:tcW w:w="1256" w:type="pct"/>
            <w:tcBorders>
              <w:top w:val="single" w:color="auto" w:sz="4" w:space="0"/>
              <w:bottom w:val="single" w:color="auto" w:sz="4" w:space="0"/>
            </w:tcBorders>
            <w:vAlign w:val="center"/>
          </w:tcPr>
          <w:p>
            <w:pPr>
              <w:jc w:val="left"/>
              <w:rPr>
                <w:rFonts w:hint="eastAsia" w:ascii="Times New Roman Regular" w:hAnsi="Times New Roman Regular" w:eastAsia="仿宋_GB2312" w:cs="Times New Roman Regular"/>
                <w:szCs w:val="21"/>
                <w:lang w:eastAsia="zh-CN"/>
              </w:rPr>
            </w:pPr>
            <w:r>
              <w:rPr>
                <w:rFonts w:hint="eastAsia" w:ascii="Times New Roman Regular" w:hAnsi="Times New Roman Regular" w:eastAsia="仿宋_GB2312" w:cs="Times New Roman Regular"/>
                <w:szCs w:val="21"/>
              </w:rPr>
              <w:t>扎实推进巡视全覆盖</w:t>
            </w:r>
            <w:r>
              <w:rPr>
                <w:rFonts w:hint="eastAsia" w:ascii="Times New Roman Regular" w:hAnsi="Times New Roman Regular" w:eastAsia="仿宋_GB2312" w:cs="Times New Roman Regular"/>
                <w:szCs w:val="21"/>
                <w:lang w:eastAsia="zh-CN"/>
              </w:rPr>
              <w:t>，</w:t>
            </w:r>
            <w:r>
              <w:rPr>
                <w:rFonts w:hint="default" w:ascii="Times New Roman Regular" w:hAnsi="Times New Roman Regular" w:eastAsia="仿宋_GB2312" w:cs="Times New Roman Regular"/>
                <w:szCs w:val="21"/>
                <w:lang w:val="en-US" w:eastAsia="zh-CN"/>
              </w:rPr>
              <w:t>高质量组织实施202</w:t>
            </w:r>
            <w:r>
              <w:rPr>
                <w:rFonts w:hint="eastAsia" w:ascii="Times New Roman Regular" w:hAnsi="Times New Roman Regular" w:eastAsia="仿宋_GB2312" w:cs="Times New Roman Regular"/>
                <w:szCs w:val="21"/>
                <w:lang w:val="en-US" w:eastAsia="zh-CN"/>
              </w:rPr>
              <w:t>3</w:t>
            </w:r>
            <w:r>
              <w:rPr>
                <w:rFonts w:hint="default" w:ascii="Times New Roman Regular" w:hAnsi="Times New Roman Regular" w:eastAsia="仿宋_GB2312" w:cs="Times New Roman Regular"/>
                <w:szCs w:val="21"/>
                <w:lang w:val="en-US" w:eastAsia="zh-CN"/>
              </w:rPr>
              <w:t>年巡察工作</w:t>
            </w:r>
            <w:r>
              <w:rPr>
                <w:rFonts w:hint="eastAsia" w:ascii="Times New Roman Regular" w:hAnsi="Times New Roman Regular" w:eastAsia="仿宋_GB2312" w:cs="Times New Roman Regular"/>
                <w:szCs w:val="21"/>
                <w:lang w:val="en-US" w:eastAsia="zh-CN"/>
              </w:rPr>
              <w:t>，</w:t>
            </w:r>
            <w:r>
              <w:rPr>
                <w:rFonts w:hint="default" w:ascii="Times New Roman Regular" w:hAnsi="Times New Roman Regular" w:eastAsia="仿宋_GB2312" w:cs="Times New Roman Regular"/>
                <w:szCs w:val="21"/>
                <w:lang w:val="en-US" w:eastAsia="zh-CN"/>
              </w:rPr>
              <w:t>统筹开展十五届县委第</w:t>
            </w:r>
            <w:r>
              <w:rPr>
                <w:rFonts w:hint="eastAsia" w:ascii="Times New Roman Regular" w:hAnsi="Times New Roman Regular" w:eastAsia="仿宋_GB2312" w:cs="Times New Roman Regular"/>
                <w:szCs w:val="21"/>
                <w:lang w:val="en-US" w:eastAsia="zh-CN"/>
              </w:rPr>
              <w:t>三</w:t>
            </w:r>
            <w:r>
              <w:rPr>
                <w:rFonts w:hint="default" w:ascii="Times New Roman Regular" w:hAnsi="Times New Roman Regular" w:eastAsia="仿宋_GB2312" w:cs="Times New Roman Regular"/>
                <w:szCs w:val="21"/>
                <w:lang w:val="en-US" w:eastAsia="zh-CN"/>
              </w:rPr>
              <w:t>、第</w:t>
            </w:r>
            <w:r>
              <w:rPr>
                <w:rFonts w:hint="eastAsia" w:ascii="Times New Roman Regular" w:hAnsi="Times New Roman Regular" w:eastAsia="仿宋_GB2312" w:cs="Times New Roman Regular"/>
                <w:szCs w:val="21"/>
                <w:lang w:val="en-US" w:eastAsia="zh-CN"/>
              </w:rPr>
              <w:t>四</w:t>
            </w:r>
            <w:r>
              <w:rPr>
                <w:rFonts w:hint="default" w:ascii="Times New Roman Regular" w:hAnsi="Times New Roman Regular" w:eastAsia="仿宋_GB2312" w:cs="Times New Roman Regular"/>
                <w:szCs w:val="21"/>
                <w:lang w:val="en-US" w:eastAsia="zh-CN"/>
              </w:rPr>
              <w:t>轮常规巡察</w:t>
            </w:r>
          </w:p>
        </w:tc>
        <w:tc>
          <w:tcPr>
            <w:tcW w:w="1742" w:type="pct"/>
            <w:vMerge w:val="continue"/>
            <w:tcBorders>
              <w:right w:val="single" w:color="auto" w:sz="4" w:space="0"/>
            </w:tcBorders>
            <w:vAlign w:val="center"/>
          </w:tcPr>
          <w:p>
            <w:pPr>
              <w:jc w:val="left"/>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pStyle w:val="41"/>
              <w:spacing w:before="145" w:line="240" w:lineRule="auto"/>
              <w:ind w:left="32"/>
              <w:jc w:val="center"/>
              <w:rPr>
                <w:rFonts w:hint="default" w:ascii="Times New Roman Regular" w:hAnsi="Times New Roman Regular" w:eastAsia="仿宋_GB2312" w:cs="Times New Roman Regular"/>
                <w:kern w:val="2"/>
                <w:sz w:val="21"/>
                <w:szCs w:val="21"/>
                <w:lang w:val="en-US" w:eastAsia="zh-CN" w:bidi="ar-SA"/>
              </w:rPr>
            </w:pPr>
            <w:r>
              <w:rPr>
                <w:rFonts w:hint="eastAsia" w:ascii="Times New Roman Regular" w:hAnsi="Times New Roman Regular" w:eastAsia="仿宋_GB2312" w:cs="Times New Roman Regular"/>
                <w:kern w:val="2"/>
                <w:sz w:val="21"/>
                <w:szCs w:val="21"/>
                <w:lang w:val="en-US" w:eastAsia="zh-CN" w:bidi="ar-SA"/>
              </w:rPr>
              <w:t>深化反腐败斗争</w:t>
            </w:r>
          </w:p>
        </w:tc>
        <w:tc>
          <w:tcPr>
            <w:tcW w:w="320"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tc>
        <w:tc>
          <w:tcPr>
            <w:tcW w:w="275"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6" w:lineRule="exact"/>
              <w:ind w:right="0"/>
              <w:jc w:val="both"/>
              <w:textAlignment w:val="auto"/>
              <w:rPr>
                <w:rFonts w:hint="default" w:ascii="Times New Roman Regular" w:hAnsi="Times New Roman Regular" w:eastAsia="仿宋_GB2312" w:cs="Times New Roman Regular"/>
                <w:kern w:val="2"/>
                <w:sz w:val="21"/>
                <w:szCs w:val="21"/>
                <w:lang w:val="en-US" w:eastAsia="zh-CN" w:bidi="ar-SA"/>
              </w:rPr>
            </w:pPr>
            <w:r>
              <w:rPr>
                <w:rFonts w:hint="default" w:ascii="Times New Roman Regular" w:hAnsi="Times New Roman Regular" w:eastAsia="仿宋_GB2312" w:cs="Times New Roman Regular"/>
                <w:kern w:val="2"/>
                <w:sz w:val="21"/>
                <w:szCs w:val="21"/>
                <w:lang w:val="en-US" w:eastAsia="zh-CN" w:bidi="ar-SA"/>
              </w:rPr>
              <w:t>认真协助</w:t>
            </w:r>
            <w:r>
              <w:rPr>
                <w:rFonts w:hint="eastAsia" w:ascii="Times New Roman Regular" w:hAnsi="Times New Roman Regular" w:eastAsia="仿宋_GB2312" w:cs="Times New Roman Regular"/>
                <w:kern w:val="2"/>
                <w:sz w:val="21"/>
                <w:szCs w:val="21"/>
                <w:lang w:val="en-US" w:eastAsia="zh-CN" w:bidi="ar-SA"/>
              </w:rPr>
              <w:t>县</w:t>
            </w:r>
            <w:r>
              <w:rPr>
                <w:rFonts w:hint="default" w:ascii="Times New Roman Regular" w:hAnsi="Times New Roman Regular" w:eastAsia="仿宋_GB2312" w:cs="Times New Roman Regular"/>
                <w:kern w:val="2"/>
                <w:sz w:val="21"/>
                <w:szCs w:val="21"/>
                <w:lang w:val="en-US" w:eastAsia="zh-CN" w:bidi="ar-SA"/>
              </w:rPr>
              <w:t>委加强反腐败形势动态分析</w:t>
            </w:r>
            <w:r>
              <w:rPr>
                <w:rFonts w:hint="eastAsia" w:ascii="Times New Roman Regular" w:hAnsi="Times New Roman Regular" w:eastAsia="仿宋_GB2312" w:cs="Times New Roman Regular"/>
                <w:kern w:val="2"/>
                <w:sz w:val="21"/>
                <w:szCs w:val="21"/>
                <w:lang w:val="en-US" w:eastAsia="zh-CN" w:bidi="ar-SA"/>
              </w:rPr>
              <w:t>研判</w:t>
            </w:r>
            <w:r>
              <w:rPr>
                <w:rFonts w:hint="default" w:ascii="Times New Roman Regular" w:hAnsi="Times New Roman Regular" w:eastAsia="仿宋_GB2312" w:cs="Times New Roman Regular"/>
                <w:kern w:val="2"/>
                <w:sz w:val="21"/>
                <w:szCs w:val="21"/>
                <w:lang w:val="en-US" w:eastAsia="zh-CN" w:bidi="ar-SA"/>
              </w:rPr>
              <w:t>，有力有效组织协调反腐败工作。讲好新时代</w:t>
            </w:r>
            <w:r>
              <w:rPr>
                <w:rFonts w:hint="eastAsia" w:ascii="Times New Roman Regular" w:hAnsi="Times New Roman Regular" w:eastAsia="仿宋_GB2312" w:cs="Times New Roman Regular"/>
                <w:kern w:val="2"/>
                <w:sz w:val="21"/>
                <w:szCs w:val="21"/>
                <w:lang w:val="en-US" w:eastAsia="zh-CN" w:bidi="ar-SA"/>
              </w:rPr>
              <w:t>宝兴</w:t>
            </w:r>
            <w:r>
              <w:rPr>
                <w:rFonts w:hint="default" w:ascii="Times New Roman Regular" w:hAnsi="Times New Roman Regular" w:eastAsia="仿宋_GB2312" w:cs="Times New Roman Regular"/>
                <w:kern w:val="2"/>
                <w:sz w:val="21"/>
                <w:szCs w:val="21"/>
                <w:lang w:val="en-US" w:eastAsia="zh-CN" w:bidi="ar-SA"/>
              </w:rPr>
              <w:t>廉洁故事，持续创建“雅廉细胞”，全面推进清廉宝兴建设，营造崇廉拒腐、向上向善的良好风尚。</w:t>
            </w:r>
          </w:p>
          <w:p>
            <w:pPr>
              <w:jc w:val="left"/>
              <w:rPr>
                <w:rFonts w:hint="default" w:ascii="Times New Roman Regular" w:hAnsi="Times New Roman Regular" w:eastAsia="仿宋_GB2312" w:cs="Times New Roman Regular"/>
                <w:szCs w:val="21"/>
              </w:rPr>
            </w:pPr>
          </w:p>
        </w:tc>
        <w:tc>
          <w:tcPr>
            <w:tcW w:w="1742" w:type="pct"/>
            <w:vMerge w:val="continue"/>
            <w:tcBorders>
              <w:right w:val="single" w:color="auto" w:sz="4" w:space="0"/>
            </w:tcBorders>
            <w:vAlign w:val="center"/>
          </w:tcPr>
          <w:p>
            <w:pPr>
              <w:jc w:val="left"/>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restart"/>
            <w:vAlign w:val="center"/>
          </w:tcPr>
          <w:p>
            <w:pPr>
              <w:pStyle w:val="41"/>
              <w:spacing w:before="90" w:line="203" w:lineRule="auto"/>
              <w:ind w:left="106"/>
              <w:jc w:val="center"/>
              <w:rPr>
                <w:rFonts w:hint="default" w:ascii="Times New Roman Regular" w:hAnsi="Times New Roman Regular" w:eastAsia="仿宋_GB2312" w:cs="Times New Roman Regular"/>
              </w:rPr>
            </w:pPr>
            <w:r>
              <w:rPr>
                <w:rFonts w:hint="default" w:ascii="Times New Roman Regular" w:hAnsi="Times New Roman Regular" w:eastAsia="仿宋_GB2312" w:cs="Times New Roman Regular"/>
                <w:spacing w:val="-6"/>
              </w:rPr>
              <w:t>重点任务二</w:t>
            </w:r>
          </w:p>
        </w:tc>
        <w:tc>
          <w:tcPr>
            <w:tcW w:w="539" w:type="pct"/>
            <w:tcBorders>
              <w:top w:val="single" w:color="auto" w:sz="4" w:space="0"/>
              <w:bottom w:val="single" w:color="auto" w:sz="4" w:space="0"/>
            </w:tcBorders>
            <w:vAlign w:val="center"/>
          </w:tcPr>
          <w:p>
            <w:pPr>
              <w:pStyle w:val="41"/>
              <w:spacing w:before="145" w:line="240" w:lineRule="auto"/>
              <w:ind w:left="32"/>
              <w:jc w:val="center"/>
              <w:rPr>
                <w:rFonts w:hint="default" w:ascii="Times New Roman Regular" w:hAnsi="Times New Roman Regular" w:eastAsia="仿宋_GB2312" w:cs="Times New Roman Regular"/>
                <w:kern w:val="2"/>
                <w:sz w:val="21"/>
                <w:szCs w:val="21"/>
                <w:lang w:val="en-US" w:eastAsia="zh-CN" w:bidi="ar-SA"/>
              </w:rPr>
            </w:pPr>
            <w:r>
              <w:rPr>
                <w:rFonts w:hint="eastAsia" w:ascii="Times New Roman Regular" w:hAnsi="Times New Roman Regular" w:eastAsia="仿宋_GB2312" w:cs="Times New Roman Regular"/>
                <w:kern w:val="2"/>
                <w:sz w:val="21"/>
                <w:szCs w:val="21"/>
                <w:lang w:val="en-US" w:eastAsia="zh-CN" w:bidi="ar-SA"/>
              </w:rPr>
              <w:t>落实中央八项规定精神</w:t>
            </w:r>
          </w:p>
        </w:tc>
        <w:tc>
          <w:tcPr>
            <w:tcW w:w="320" w:type="pct"/>
            <w:tcBorders>
              <w:top w:val="single" w:color="auto" w:sz="4" w:space="0"/>
              <w:bottom w:val="single" w:color="auto" w:sz="4" w:space="0"/>
            </w:tcBorders>
            <w:vAlign w:val="center"/>
          </w:tcPr>
          <w:p>
            <w:pPr>
              <w:pStyle w:val="41"/>
              <w:spacing w:before="145" w:line="240" w:lineRule="auto"/>
              <w:ind w:left="32"/>
              <w:jc w:val="center"/>
              <w:rPr>
                <w:rFonts w:hint="default" w:ascii="Times New Roman Regular" w:hAnsi="Times New Roman Regular" w:eastAsia="仿宋_GB2312" w:cs="Times New Roman Regular"/>
                <w:kern w:val="2"/>
                <w:sz w:val="21"/>
                <w:szCs w:val="21"/>
                <w:lang w:val="en-US" w:eastAsia="zh-CN" w:bidi="ar-SA"/>
              </w:rPr>
            </w:pPr>
            <w:r>
              <w:rPr>
                <w:rFonts w:hint="eastAsia" w:ascii="Times New Roman Regular" w:hAnsi="Times New Roman Regular" w:eastAsia="仿宋_GB2312" w:cs="Times New Roman Regular"/>
                <w:kern w:val="2"/>
                <w:sz w:val="21"/>
                <w:szCs w:val="21"/>
                <w:lang w:val="en-US" w:eastAsia="zh-CN" w:bidi="ar-SA"/>
              </w:rPr>
              <w:t>10</w:t>
            </w:r>
          </w:p>
        </w:tc>
        <w:tc>
          <w:tcPr>
            <w:tcW w:w="275" w:type="pct"/>
            <w:tcBorders>
              <w:top w:val="single" w:color="auto" w:sz="4" w:space="0"/>
              <w:bottom w:val="single" w:color="auto" w:sz="4" w:space="0"/>
            </w:tcBorders>
            <w:vAlign w:val="center"/>
          </w:tcPr>
          <w:p>
            <w:pPr>
              <w:ind w:firstLine="420" w:firstLineChars="200"/>
              <w:jc w:val="both"/>
              <w:rPr>
                <w:rFonts w:hint="default"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10</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kern w:val="2"/>
                <w:sz w:val="21"/>
                <w:szCs w:val="21"/>
                <w:lang w:val="en-US" w:eastAsia="zh-CN" w:bidi="ar-SA"/>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kern w:val="2"/>
                <w:sz w:val="21"/>
                <w:szCs w:val="21"/>
                <w:lang w:val="en-US" w:eastAsia="zh-CN" w:bidi="ar-SA"/>
              </w:rPr>
            </w:pPr>
            <w:r>
              <w:rPr>
                <w:rFonts w:hint="default" w:ascii="Times New Roman Regular" w:hAnsi="Times New Roman Regular" w:eastAsia="仿宋_GB2312" w:cs="Times New Roman Regular"/>
                <w:kern w:val="2"/>
                <w:sz w:val="21"/>
                <w:szCs w:val="21"/>
                <w:lang w:val="en-US" w:eastAsia="zh-CN" w:bidi="ar-SA"/>
              </w:rPr>
              <w:t>坚决狠刹享乐主义奢靡之风。健全常态化正风肃纪督查机制，加大监督检查、明察暗访力度，深化整治违规收送礼品礼金、违规发放津补贴或福利等反复性、顽固性问题，坚决遏制反弹回潮。</w:t>
            </w:r>
          </w:p>
        </w:tc>
        <w:tc>
          <w:tcPr>
            <w:tcW w:w="1742" w:type="pct"/>
            <w:vMerge w:val="continue"/>
            <w:tcBorders>
              <w:right w:val="single" w:color="auto" w:sz="4" w:space="0"/>
            </w:tcBorders>
            <w:vAlign w:val="center"/>
          </w:tcPr>
          <w:p>
            <w:pPr>
              <w:jc w:val="left"/>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283" w:type="pct"/>
            <w:vMerge w:val="continue"/>
            <w:vAlign w:val="center"/>
          </w:tcPr>
          <w:p>
            <w:pPr>
              <w:jc w:val="center"/>
              <w:rPr>
                <w:rFonts w:hint="default" w:ascii="Times New Roman Regular" w:hAnsi="Times New Roman Regular" w:eastAsia="仿宋_GB2312" w:cs="Times New Roman Regular"/>
                <w:szCs w:val="21"/>
              </w:rPr>
            </w:pPr>
          </w:p>
        </w:tc>
        <w:tc>
          <w:tcPr>
            <w:tcW w:w="337" w:type="pct"/>
            <w:vMerge w:val="continue"/>
            <w:vAlign w:val="center"/>
          </w:tcPr>
          <w:p>
            <w:pPr>
              <w:jc w:val="center"/>
              <w:rPr>
                <w:rFonts w:hint="default" w:ascii="Times New Roman Regular" w:hAnsi="Times New Roman Regular" w:eastAsia="仿宋_GB2312" w:cs="Times New Roman Regular"/>
                <w:szCs w:val="21"/>
              </w:rPr>
            </w:pPr>
          </w:p>
        </w:tc>
        <w:tc>
          <w:tcPr>
            <w:tcW w:w="539" w:type="pct"/>
            <w:tcBorders>
              <w:top w:val="single" w:color="auto" w:sz="4" w:space="0"/>
              <w:bottom w:val="single" w:color="auto" w:sz="4" w:space="0"/>
            </w:tcBorders>
            <w:vAlign w:val="center"/>
          </w:tcPr>
          <w:p>
            <w:pPr>
              <w:pStyle w:val="41"/>
              <w:spacing w:before="145" w:line="240" w:lineRule="auto"/>
              <w:ind w:left="32"/>
              <w:jc w:val="center"/>
              <w:rPr>
                <w:rFonts w:hint="default" w:ascii="Times New Roman Regular" w:hAnsi="Times New Roman Regular" w:eastAsia="仿宋_GB2312" w:cs="Times New Roman Regular"/>
                <w:kern w:val="2"/>
                <w:sz w:val="21"/>
                <w:szCs w:val="21"/>
                <w:lang w:val="en-US" w:eastAsia="zh-CN" w:bidi="ar-SA"/>
              </w:rPr>
            </w:pPr>
            <w:r>
              <w:rPr>
                <w:rFonts w:hint="default" w:ascii="Times New Roman Regular" w:hAnsi="Times New Roman Regular" w:eastAsia="仿宋_GB2312" w:cs="Times New Roman Regular"/>
                <w:kern w:val="2"/>
                <w:sz w:val="21"/>
                <w:szCs w:val="21"/>
                <w:lang w:val="en-US" w:eastAsia="zh-CN" w:bidi="ar-SA"/>
              </w:rPr>
              <w:t>执纪为民推动解决急难愁盼问题</w:t>
            </w:r>
          </w:p>
        </w:tc>
        <w:tc>
          <w:tcPr>
            <w:tcW w:w="320" w:type="pct"/>
            <w:tcBorders>
              <w:top w:val="single" w:color="auto" w:sz="4" w:space="0"/>
              <w:bottom w:val="single" w:color="auto" w:sz="4" w:space="0"/>
            </w:tcBorders>
            <w:vAlign w:val="center"/>
          </w:tcPr>
          <w:p>
            <w:pPr>
              <w:pStyle w:val="41"/>
              <w:spacing w:before="145" w:line="240" w:lineRule="auto"/>
              <w:ind w:left="32"/>
              <w:jc w:val="center"/>
              <w:rPr>
                <w:rFonts w:hint="default" w:ascii="Times New Roman Regular" w:hAnsi="Times New Roman Regular" w:eastAsia="仿宋_GB2312" w:cs="Times New Roman Regular"/>
                <w:kern w:val="2"/>
                <w:sz w:val="21"/>
                <w:szCs w:val="21"/>
                <w:lang w:val="en-US" w:eastAsia="zh-CN" w:bidi="ar-SA"/>
              </w:rPr>
            </w:pPr>
            <w:r>
              <w:rPr>
                <w:rFonts w:hint="eastAsia" w:ascii="Times New Roman Regular" w:hAnsi="Times New Roman Regular" w:eastAsia="仿宋_GB2312" w:cs="Times New Roman Regular"/>
                <w:kern w:val="2"/>
                <w:sz w:val="21"/>
                <w:szCs w:val="21"/>
                <w:lang w:val="en-US" w:eastAsia="zh-CN" w:bidi="ar-SA"/>
              </w:rPr>
              <w:t>10</w:t>
            </w:r>
          </w:p>
        </w:tc>
        <w:tc>
          <w:tcPr>
            <w:tcW w:w="275" w:type="pct"/>
            <w:tcBorders>
              <w:top w:val="single" w:color="auto" w:sz="4" w:space="0"/>
              <w:bottom w:val="single" w:color="auto" w:sz="4" w:space="0"/>
            </w:tcBorders>
            <w:vAlign w:val="center"/>
          </w:tcPr>
          <w:p>
            <w:pPr>
              <w:jc w:val="center"/>
              <w:rPr>
                <w:rFonts w:hint="eastAsia" w:ascii="Times New Roman Regular" w:hAnsi="Times New Roman Regular" w:eastAsia="仿宋_GB2312" w:cs="Times New Roman Regular"/>
                <w:szCs w:val="21"/>
                <w:lang w:val="en-US" w:eastAsia="zh-CN"/>
              </w:rPr>
            </w:pPr>
          </w:p>
          <w:p>
            <w:pPr>
              <w:jc w:val="center"/>
              <w:rPr>
                <w:rFonts w:hint="eastAsia" w:ascii="Times New Roman Regular" w:hAnsi="Times New Roman Regular" w:eastAsia="仿宋_GB2312" w:cs="Times New Roman Regular"/>
                <w:szCs w:val="21"/>
                <w:lang w:val="en-US" w:eastAsia="zh-CN"/>
              </w:rPr>
            </w:pPr>
            <w:r>
              <w:rPr>
                <w:rFonts w:hint="eastAsia" w:ascii="Times New Roman Regular" w:hAnsi="Times New Roman Regular" w:eastAsia="仿宋_GB2312" w:cs="Times New Roman Regular"/>
                <w:szCs w:val="21"/>
                <w:lang w:val="en-US" w:eastAsia="zh-CN"/>
              </w:rPr>
              <w:t>9</w:t>
            </w:r>
          </w:p>
        </w:tc>
        <w:tc>
          <w:tcPr>
            <w:tcW w:w="243" w:type="pct"/>
            <w:tcBorders>
              <w:top w:val="single" w:color="auto" w:sz="4" w:space="0"/>
              <w:bottom w:val="single" w:color="auto" w:sz="4" w:space="0"/>
            </w:tcBorders>
            <w:vAlign w:val="center"/>
          </w:tcPr>
          <w:p>
            <w:pPr>
              <w:jc w:val="center"/>
              <w:rPr>
                <w:rFonts w:hint="default" w:ascii="Times New Roman Regular" w:hAnsi="Times New Roman Regular" w:eastAsia="仿宋_GB2312" w:cs="Times New Roman Regular"/>
                <w:szCs w:val="21"/>
              </w:rPr>
            </w:pPr>
          </w:p>
        </w:tc>
        <w:tc>
          <w:tcPr>
            <w:tcW w:w="1256" w:type="pct"/>
            <w:tcBorders>
              <w:top w:val="single" w:color="auto" w:sz="4" w:space="0"/>
              <w:bottom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kern w:val="2"/>
                <w:sz w:val="21"/>
                <w:szCs w:val="21"/>
                <w:lang w:val="en-US" w:eastAsia="zh-CN" w:bidi="ar-SA"/>
              </w:rPr>
              <w:t>坚决惩治“微腐败”。瞄准民生痛点和教育、就业、医疗、养老社保等群众反映强烈的腐败和作风问题，持续开展“小切口”专项整治，坚决惩治群众身边的“蝇贪蚁腐”。</w:t>
            </w:r>
          </w:p>
        </w:tc>
        <w:tc>
          <w:tcPr>
            <w:tcW w:w="1742" w:type="pct"/>
            <w:vMerge w:val="continue"/>
            <w:tcBorders>
              <w:right w:val="single" w:color="auto" w:sz="4" w:space="0"/>
            </w:tcBorders>
            <w:vAlign w:val="center"/>
          </w:tcPr>
          <w:p>
            <w:pPr>
              <w:jc w:val="left"/>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83" w:type="pct"/>
            <w:vAlign w:val="center"/>
          </w:tcPr>
          <w:p>
            <w:pPr>
              <w:jc w:val="center"/>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满意度（10分）</w:t>
            </w:r>
          </w:p>
        </w:tc>
        <w:tc>
          <w:tcPr>
            <w:tcW w:w="337" w:type="pct"/>
            <w:vAlign w:val="center"/>
          </w:tcPr>
          <w:p>
            <w:pPr>
              <w:jc w:val="center"/>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rPr>
              <w:t>满意度指标</w:t>
            </w:r>
          </w:p>
        </w:tc>
        <w:tc>
          <w:tcPr>
            <w:tcW w:w="539" w:type="pct"/>
            <w:vAlign w:val="center"/>
          </w:tcPr>
          <w:p>
            <w:pPr>
              <w:jc w:val="center"/>
              <w:rPr>
                <w:rFonts w:hint="eastAsia" w:ascii="Times New Roman Regular" w:hAnsi="Times New Roman Regular" w:eastAsia="仿宋_GB2312" w:cs="Times New Roman Regular"/>
                <w:spacing w:val="32"/>
                <w:position w:val="3"/>
                <w:szCs w:val="21"/>
                <w:lang w:eastAsia="zh-CN"/>
              </w:rPr>
            </w:pPr>
            <w:r>
              <w:rPr>
                <w:rFonts w:hint="eastAsia" w:ascii="Times New Roman Regular" w:hAnsi="Times New Roman Regular" w:eastAsia="仿宋_GB2312" w:cs="Times New Roman Regular"/>
                <w:spacing w:val="32"/>
                <w:position w:val="3"/>
                <w:szCs w:val="21"/>
                <w:lang w:eastAsia="zh-CN"/>
              </w:rPr>
              <w:t>群众满意度</w:t>
            </w:r>
          </w:p>
        </w:tc>
        <w:tc>
          <w:tcPr>
            <w:tcW w:w="320" w:type="pct"/>
            <w:vAlign w:val="center"/>
          </w:tcPr>
          <w:p>
            <w:pPr>
              <w:jc w:val="center"/>
              <w:rPr>
                <w:rFonts w:hint="default" w:ascii="Times New Roman Regular" w:hAnsi="Times New Roman Regular" w:eastAsia="仿宋_GB2312" w:cs="Times New Roman Regular"/>
                <w:spacing w:val="32"/>
                <w:position w:val="3"/>
                <w:szCs w:val="21"/>
                <w:lang w:val="en-US" w:eastAsia="zh-CN"/>
              </w:rPr>
            </w:pPr>
            <w:r>
              <w:rPr>
                <w:rFonts w:hint="eastAsia" w:ascii="Times New Roman Regular" w:hAnsi="Times New Roman Regular" w:eastAsia="仿宋_GB2312" w:cs="Times New Roman Regular"/>
                <w:spacing w:val="32"/>
                <w:position w:val="3"/>
                <w:szCs w:val="21"/>
                <w:lang w:val="en-US" w:eastAsia="zh-CN"/>
              </w:rPr>
              <w:t>10</w:t>
            </w:r>
          </w:p>
        </w:tc>
        <w:tc>
          <w:tcPr>
            <w:tcW w:w="275" w:type="pct"/>
            <w:vAlign w:val="center"/>
          </w:tcPr>
          <w:p>
            <w:pPr>
              <w:jc w:val="center"/>
              <w:rPr>
                <w:rFonts w:hint="eastAsia" w:ascii="Times New Roman Regular" w:hAnsi="Times New Roman Regular" w:eastAsia="仿宋_GB2312" w:cs="Times New Roman Regular"/>
                <w:spacing w:val="32"/>
                <w:position w:val="3"/>
                <w:szCs w:val="21"/>
                <w:lang w:val="en-US" w:eastAsia="zh-CN"/>
              </w:rPr>
            </w:pPr>
            <w:r>
              <w:rPr>
                <w:rFonts w:hint="eastAsia" w:ascii="Times New Roman Regular" w:hAnsi="Times New Roman Regular" w:eastAsia="仿宋_GB2312" w:cs="Times New Roman Regular"/>
                <w:spacing w:val="32"/>
                <w:position w:val="3"/>
                <w:szCs w:val="21"/>
                <w:lang w:val="en-US" w:eastAsia="zh-CN"/>
              </w:rPr>
              <w:t>9</w:t>
            </w:r>
          </w:p>
        </w:tc>
        <w:tc>
          <w:tcPr>
            <w:tcW w:w="243" w:type="pct"/>
            <w:vAlign w:val="center"/>
          </w:tcPr>
          <w:p>
            <w:pPr>
              <w:jc w:val="left"/>
              <w:rPr>
                <w:rFonts w:hint="default" w:ascii="Times New Roman Regular" w:hAnsi="Times New Roman Regular" w:eastAsia="仿宋_GB2312" w:cs="Times New Roman Regular"/>
                <w:spacing w:val="32"/>
                <w:position w:val="3"/>
                <w:szCs w:val="21"/>
              </w:rPr>
            </w:pPr>
          </w:p>
        </w:tc>
        <w:tc>
          <w:tcPr>
            <w:tcW w:w="1256" w:type="pct"/>
            <w:vAlign w:val="center"/>
          </w:tcPr>
          <w:p>
            <w:pPr>
              <w:jc w:val="left"/>
              <w:rPr>
                <w:rFonts w:hint="default" w:ascii="Times New Roman Regular" w:hAnsi="Times New Roman Regular" w:eastAsia="仿宋_GB2312" w:cs="Times New Roman Regular"/>
                <w:spacing w:val="32"/>
                <w:position w:val="3"/>
                <w:szCs w:val="21"/>
              </w:rPr>
            </w:pPr>
          </w:p>
        </w:tc>
        <w:tc>
          <w:tcPr>
            <w:tcW w:w="1742" w:type="pct"/>
            <w:vMerge w:val="continue"/>
            <w:tcBorders>
              <w:right w:val="single" w:color="auto" w:sz="4" w:space="0"/>
            </w:tcBorders>
            <w:vAlign w:val="center"/>
          </w:tcPr>
          <w:p>
            <w:pPr>
              <w:jc w:val="left"/>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160" w:type="pct"/>
            <w:gridSpan w:val="3"/>
            <w:vAlign w:val="center"/>
          </w:tcPr>
          <w:p>
            <w:pPr>
              <w:jc w:val="center"/>
              <w:rPr>
                <w:rFonts w:hint="default" w:ascii="Times New Roman Regular" w:hAnsi="Times New Roman Regular" w:eastAsia="仿宋_GB2312" w:cs="Times New Roman Regular"/>
                <w:spacing w:val="32"/>
                <w:position w:val="3"/>
                <w:szCs w:val="21"/>
              </w:rPr>
            </w:pPr>
            <w:r>
              <w:rPr>
                <w:rFonts w:hint="default" w:ascii="Times New Roman Regular" w:hAnsi="Times New Roman Regular" w:eastAsia="仿宋_GB2312" w:cs="Times New Roman Regular"/>
                <w:spacing w:val="32"/>
                <w:position w:val="3"/>
                <w:szCs w:val="21"/>
              </w:rPr>
              <w:t>合计</w:t>
            </w:r>
          </w:p>
        </w:tc>
        <w:tc>
          <w:tcPr>
            <w:tcW w:w="320" w:type="pct"/>
            <w:vAlign w:val="center"/>
          </w:tcPr>
          <w:p>
            <w:pPr>
              <w:jc w:val="center"/>
              <w:rPr>
                <w:rFonts w:hint="default" w:ascii="Times New Roman Regular" w:hAnsi="Times New Roman Regular" w:eastAsia="仿宋_GB2312" w:cs="Times New Roman Regular"/>
                <w:spacing w:val="32"/>
                <w:position w:val="3"/>
                <w:szCs w:val="21"/>
              </w:rPr>
            </w:pPr>
            <w:r>
              <w:rPr>
                <w:rFonts w:hint="default" w:ascii="Times New Roman Regular" w:hAnsi="Times New Roman Regular" w:eastAsia="仿宋_GB2312" w:cs="Times New Roman Regular"/>
                <w:spacing w:val="32"/>
                <w:position w:val="3"/>
                <w:szCs w:val="21"/>
              </w:rPr>
              <w:t>100分</w:t>
            </w:r>
          </w:p>
        </w:tc>
        <w:tc>
          <w:tcPr>
            <w:tcW w:w="275" w:type="pct"/>
            <w:vAlign w:val="center"/>
          </w:tcPr>
          <w:p>
            <w:pPr>
              <w:jc w:val="center"/>
              <w:rPr>
                <w:rFonts w:hint="default" w:ascii="Times New Roman Regular" w:hAnsi="Times New Roman Regular" w:eastAsia="仿宋_GB2312" w:cs="Times New Roman Regular"/>
                <w:spacing w:val="32"/>
                <w:position w:val="3"/>
                <w:szCs w:val="21"/>
                <w:lang w:val="en-US" w:eastAsia="zh-CN"/>
              </w:rPr>
            </w:pPr>
            <w:r>
              <w:rPr>
                <w:rFonts w:hint="eastAsia" w:ascii="Times New Roman Regular" w:hAnsi="Times New Roman Regular" w:eastAsia="仿宋_GB2312" w:cs="Times New Roman Regular"/>
                <w:spacing w:val="32"/>
                <w:position w:val="3"/>
                <w:szCs w:val="21"/>
                <w:lang w:val="en-US" w:eastAsia="zh-CN"/>
              </w:rPr>
              <w:t>97分</w:t>
            </w:r>
          </w:p>
        </w:tc>
        <w:tc>
          <w:tcPr>
            <w:tcW w:w="243" w:type="pct"/>
            <w:vAlign w:val="center"/>
          </w:tcPr>
          <w:p>
            <w:pPr>
              <w:jc w:val="center"/>
              <w:rPr>
                <w:rFonts w:hint="default" w:ascii="Times New Roman Regular" w:hAnsi="Times New Roman Regular" w:eastAsia="仿宋_GB2312" w:cs="Times New Roman Regular"/>
                <w:spacing w:val="32"/>
                <w:position w:val="3"/>
                <w:szCs w:val="21"/>
              </w:rPr>
            </w:pPr>
          </w:p>
        </w:tc>
        <w:tc>
          <w:tcPr>
            <w:tcW w:w="1256" w:type="pct"/>
            <w:vAlign w:val="center"/>
          </w:tcPr>
          <w:p>
            <w:pPr>
              <w:jc w:val="center"/>
              <w:rPr>
                <w:rFonts w:hint="default" w:ascii="Times New Roman Regular" w:hAnsi="Times New Roman Regular" w:eastAsia="仿宋_GB2312" w:cs="Times New Roman Regular"/>
                <w:spacing w:val="32"/>
                <w:position w:val="3"/>
                <w:szCs w:val="21"/>
              </w:rPr>
            </w:pPr>
          </w:p>
        </w:tc>
        <w:tc>
          <w:tcPr>
            <w:tcW w:w="1742" w:type="pct"/>
            <w:tcBorders>
              <w:top w:val="single" w:color="auto" w:sz="4" w:space="0"/>
              <w:bottom w:val="single" w:color="auto" w:sz="4" w:space="0"/>
              <w:right w:val="single" w:color="auto" w:sz="4" w:space="0"/>
            </w:tcBorders>
            <w:vAlign w:val="center"/>
          </w:tcPr>
          <w:p>
            <w:pPr>
              <w:jc w:val="center"/>
              <w:rPr>
                <w:rFonts w:hint="default" w:ascii="Times New Roman Regular" w:hAnsi="Times New Roman Regular" w:eastAsia="仿宋_GB2312" w:cs="Times New Roman Regular"/>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8"/>
            <w:tcBorders>
              <w:bottom w:val="single" w:color="auto" w:sz="4" w:space="0"/>
              <w:right w:val="single" w:color="auto" w:sz="4" w:space="0"/>
            </w:tcBorders>
            <w:vAlign w:val="center"/>
          </w:tcPr>
          <w:p>
            <w:pPr>
              <w:jc w:val="left"/>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pacing w:val="-6"/>
              </w:rPr>
              <w:t>注：若某部门不存在某项评价内容或评价指标，则该评价内容或评价指标不计入该部门考核评价范围</w:t>
            </w:r>
            <w:r>
              <w:rPr>
                <w:rFonts w:hint="default" w:ascii="Times New Roman Regular" w:hAnsi="Times New Roman Regular" w:eastAsia="仿宋_GB2312" w:cs="Times New Roman Regular"/>
                <w:spacing w:val="-35"/>
              </w:rPr>
              <w:t xml:space="preserve"> </w:t>
            </w:r>
            <w:r>
              <w:rPr>
                <w:rFonts w:hint="default" w:ascii="Times New Roman Regular" w:hAnsi="Times New Roman Regular" w:eastAsia="仿宋_GB2312" w:cs="Times New Roman Regular"/>
                <w:spacing w:val="-6"/>
              </w:rPr>
              <w:t>，即</w:t>
            </w:r>
            <w:r>
              <w:rPr>
                <w:rFonts w:hint="default" w:ascii="Times New Roman Regular" w:hAnsi="Times New Roman Regular" w:eastAsia="仿宋_GB2312" w:cs="Times New Roman Regular"/>
                <w:spacing w:val="-7"/>
              </w:rPr>
              <w:t>该部门评价总分=不含该评价内容或指标的实际评价总分/（100-</w:t>
            </w:r>
            <w:r>
              <w:rPr>
                <w:rFonts w:hint="default" w:ascii="Times New Roman Regular" w:hAnsi="Times New Roman Regular" w:eastAsia="仿宋_GB2312" w:cs="Times New Roman Regular"/>
                <w:spacing w:val="-4"/>
              </w:rPr>
              <w:t>该评价内容或指标所占分值）*100。</w:t>
            </w:r>
          </w:p>
        </w:tc>
      </w:tr>
    </w:tbl>
    <w:p/>
    <w:p/>
    <w:p>
      <w:pPr>
        <w:rPr>
          <w:rFonts w:ascii="黑体" w:hAnsi="黑体" w:eastAsia="黑体"/>
          <w:sz w:val="32"/>
          <w:szCs w:val="32"/>
        </w:rPr>
      </w:pPr>
      <w:r>
        <w:rPr>
          <w:rFonts w:hint="eastAsia" w:ascii="黑体" w:hAnsi="黑体" w:eastAsia="黑体"/>
          <w:sz w:val="32"/>
          <w:szCs w:val="32"/>
        </w:rPr>
        <w:t>附件2</w:t>
      </w:r>
    </w:p>
    <w:p>
      <w:pPr>
        <w:widowControl w:val="0"/>
        <w:spacing w:line="578" w:lineRule="exact"/>
        <w:jc w:val="center"/>
        <w:rPr>
          <w:rFonts w:hint="eastAsia" w:ascii="Times New Roman Regular" w:hAnsi="Times New Roman Regular" w:eastAsia="方正小标宋简体" w:cs="Times New Roman Regular"/>
          <w:color w:val="auto"/>
          <w:kern w:val="2"/>
          <w:sz w:val="40"/>
          <w:szCs w:val="40"/>
          <w:lang w:val="en-US" w:eastAsia="zh-CN" w:bidi="ar-SA"/>
        </w:rPr>
      </w:pPr>
      <w:r>
        <w:rPr>
          <w:rFonts w:hint="eastAsia" w:ascii="Times New Roman Regular" w:hAnsi="Times New Roman Regular" w:eastAsia="方正小标宋简体" w:cs="Times New Roman Regular"/>
          <w:color w:val="auto"/>
          <w:kern w:val="2"/>
          <w:sz w:val="40"/>
          <w:szCs w:val="40"/>
          <w:lang w:val="en-US" w:eastAsia="zh-CN" w:bidi="ar-SA"/>
        </w:rPr>
        <w:t>中共宝兴县纪委办公室关于</w:t>
      </w:r>
    </w:p>
    <w:p>
      <w:pPr>
        <w:widowControl w:val="0"/>
        <w:spacing w:line="578" w:lineRule="exact"/>
        <w:jc w:val="center"/>
        <w:rPr>
          <w:rFonts w:ascii="Times New Roman Regular" w:hAnsi="Times New Roman Regular" w:eastAsia="方正小标宋简体" w:cs="Times New Roman Regular"/>
          <w:color w:val="auto"/>
          <w:kern w:val="2"/>
          <w:sz w:val="40"/>
          <w:szCs w:val="40"/>
          <w:lang w:val="en-US" w:eastAsia="zh-CN" w:bidi="ar-SA"/>
        </w:rPr>
      </w:pPr>
      <w:r>
        <w:rPr>
          <w:rFonts w:ascii="Times New Roman Bold" w:hAnsi="Times New Roman Bold" w:eastAsia="方正小标宋简体" w:cs="Times New Roman Bold"/>
          <w:b/>
          <w:bCs/>
          <w:color w:val="auto"/>
          <w:kern w:val="2"/>
          <w:sz w:val="40"/>
          <w:szCs w:val="40"/>
          <w:lang w:val="en-US" w:eastAsia="zh-CN" w:bidi="ar-SA"/>
        </w:rPr>
        <w:t>2023</w:t>
      </w:r>
      <w:r>
        <w:rPr>
          <w:rFonts w:ascii="Times New Roman Regular" w:hAnsi="Times New Roman Regular" w:eastAsia="方正小标宋简体" w:cs="Times New Roman Regular"/>
          <w:color w:val="auto"/>
          <w:kern w:val="2"/>
          <w:sz w:val="40"/>
          <w:szCs w:val="40"/>
          <w:lang w:val="en-US" w:eastAsia="zh-CN" w:bidi="ar-SA"/>
        </w:rPr>
        <w:t>年度</w:t>
      </w:r>
      <w:r>
        <w:rPr>
          <w:rFonts w:hint="eastAsia" w:ascii="Times New Roman Regular" w:hAnsi="Times New Roman Regular" w:eastAsia="方正小标宋简体" w:cs="Times New Roman Regular"/>
          <w:color w:val="auto"/>
          <w:kern w:val="2"/>
          <w:sz w:val="40"/>
          <w:szCs w:val="40"/>
          <w:lang w:val="en-US" w:eastAsia="zh-CN" w:bidi="ar-SA"/>
        </w:rPr>
        <w:t>“</w:t>
      </w:r>
      <w:r>
        <w:rPr>
          <w:rFonts w:hint="eastAsia" w:ascii="方正小标宋简体" w:hAnsi="方正小标宋简体" w:eastAsia="方正小标宋简体" w:cs="方正小标宋简体"/>
          <w:color w:val="000000"/>
          <w:kern w:val="0"/>
          <w:sz w:val="40"/>
          <w:szCs w:val="40"/>
          <w:lang w:val="zh-CN" w:eastAsia="zh-CN" w:bidi="ar-SA"/>
        </w:rPr>
        <w:t>巡察保障经费</w:t>
      </w:r>
      <w:r>
        <w:rPr>
          <w:rFonts w:hint="eastAsia" w:ascii="Times New Roman Regular" w:hAnsi="Times New Roman Regular" w:eastAsia="方正小标宋简体" w:cs="Times New Roman Regular"/>
          <w:color w:val="auto"/>
          <w:kern w:val="2"/>
          <w:sz w:val="40"/>
          <w:szCs w:val="40"/>
          <w:lang w:val="en-US" w:eastAsia="zh-CN" w:bidi="ar-SA"/>
        </w:rPr>
        <w:t>”</w:t>
      </w:r>
      <w:r>
        <w:rPr>
          <w:rFonts w:ascii="Times New Roman Regular" w:hAnsi="Times New Roman Regular" w:eastAsia="方正小标宋简体" w:cs="Times New Roman Regular"/>
          <w:color w:val="auto"/>
          <w:kern w:val="2"/>
          <w:sz w:val="40"/>
          <w:szCs w:val="40"/>
          <w:lang w:val="en-US" w:eastAsia="zh-CN" w:bidi="ar-SA"/>
        </w:rPr>
        <w:t>专项资金预算</w:t>
      </w:r>
    </w:p>
    <w:p>
      <w:pPr>
        <w:widowControl w:val="0"/>
        <w:spacing w:line="578" w:lineRule="exact"/>
        <w:jc w:val="center"/>
        <w:rPr>
          <w:rFonts w:ascii="Times New Roman Regular" w:hAnsi="Times New Roman Regular" w:eastAsia="方正小标宋简体" w:cs="Times New Roman Regular"/>
          <w:color w:val="auto"/>
          <w:kern w:val="2"/>
          <w:sz w:val="40"/>
          <w:szCs w:val="40"/>
          <w:lang w:val="en-US" w:eastAsia="zh-CN" w:bidi="ar-SA"/>
        </w:rPr>
      </w:pPr>
      <w:r>
        <w:rPr>
          <w:rFonts w:ascii="Times New Roman Regular" w:hAnsi="Times New Roman Regular" w:eastAsia="方正小标宋简体" w:cs="Times New Roman Regular"/>
          <w:color w:val="auto"/>
          <w:kern w:val="2"/>
          <w:sz w:val="40"/>
          <w:szCs w:val="40"/>
          <w:lang w:val="en-US" w:eastAsia="zh-CN" w:bidi="ar-SA"/>
        </w:rPr>
        <w:t>项目绩效自评报告</w:t>
      </w:r>
    </w:p>
    <w:p>
      <w:pPr>
        <w:widowControl w:val="0"/>
        <w:spacing w:line="578" w:lineRule="exact"/>
        <w:jc w:val="center"/>
        <w:rPr>
          <w:rFonts w:ascii="Times New Roman Regular" w:hAnsi="Times New Roman Regular" w:eastAsia="方正小标宋简体" w:cs="Times New Roman Regular"/>
          <w:color w:val="auto"/>
          <w:kern w:val="2"/>
          <w:sz w:val="40"/>
          <w:szCs w:val="40"/>
          <w:lang w:val="en-US" w:eastAsia="zh-CN" w:bidi="ar-SA"/>
        </w:rPr>
      </w:pP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黑体" w:cs="Times New Roman Regular"/>
          <w:color w:val="auto"/>
          <w:kern w:val="2"/>
          <w:sz w:val="32"/>
          <w:szCs w:val="32"/>
          <w:lang w:val="en-US" w:eastAsia="zh-CN" w:bidi="ar-SA"/>
        </w:rPr>
      </w:pPr>
      <w:r>
        <w:rPr>
          <w:rFonts w:ascii="Times New Roman Regular" w:hAnsi="Times New Roman Regular" w:eastAsia="黑体" w:cs="Times New Roman Regular"/>
          <w:color w:val="auto"/>
          <w:kern w:val="2"/>
          <w:sz w:val="32"/>
          <w:szCs w:val="32"/>
          <w:lang w:val="en-US" w:eastAsia="zh-CN" w:bidi="ar-SA"/>
        </w:rPr>
        <w:t>一、项目基本情况</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楷体_GB2312" w:cs="Times New Roman Regular"/>
          <w:color w:val="auto"/>
          <w:kern w:val="2"/>
          <w:sz w:val="32"/>
          <w:szCs w:val="32"/>
          <w:lang w:val="en-US" w:eastAsia="zh-CN" w:bidi="ar-SA"/>
        </w:rPr>
      </w:pPr>
      <w:r>
        <w:rPr>
          <w:rFonts w:ascii="Times New Roman Regular" w:hAnsi="Times New Roman Regular" w:eastAsia="楷体_GB2312" w:cs="Times New Roman Regular"/>
          <w:color w:val="auto"/>
          <w:kern w:val="2"/>
          <w:sz w:val="32"/>
          <w:szCs w:val="32"/>
          <w:lang w:val="en-US" w:eastAsia="zh-CN" w:bidi="ar-SA"/>
        </w:rPr>
        <w:t>（一）项目</w:t>
      </w:r>
      <w:r>
        <w:rPr>
          <w:rFonts w:hint="eastAsia" w:ascii="Times New Roman Regular" w:hAnsi="Times New Roman Regular" w:eastAsia="楷体_GB2312" w:cs="Times New Roman Regular"/>
          <w:color w:val="auto"/>
          <w:kern w:val="2"/>
          <w:sz w:val="32"/>
          <w:szCs w:val="32"/>
          <w:lang w:val="en-US" w:eastAsia="zh-CN" w:bidi="ar-SA"/>
        </w:rPr>
        <w:t>（</w:t>
      </w:r>
      <w:r>
        <w:rPr>
          <w:rFonts w:ascii="Times New Roman Regular" w:hAnsi="Times New Roman Regular" w:eastAsia="楷体_GB2312" w:cs="Times New Roman Regular"/>
          <w:color w:val="auto"/>
          <w:kern w:val="2"/>
          <w:sz w:val="32"/>
          <w:szCs w:val="32"/>
          <w:lang w:val="en-US" w:eastAsia="zh-CN" w:bidi="ar-SA"/>
        </w:rPr>
        <w:t>政策</w:t>
      </w:r>
      <w:r>
        <w:rPr>
          <w:rFonts w:hint="eastAsia" w:ascii="Times New Roman Regular" w:hAnsi="Times New Roman Regular" w:eastAsia="楷体_GB2312" w:cs="Times New Roman Regular"/>
          <w:color w:val="auto"/>
          <w:kern w:val="2"/>
          <w:sz w:val="32"/>
          <w:szCs w:val="32"/>
          <w:lang w:val="en-US" w:eastAsia="zh-CN" w:bidi="ar-SA"/>
        </w:rPr>
        <w:t>）</w:t>
      </w:r>
      <w:r>
        <w:rPr>
          <w:rFonts w:ascii="Times New Roman Regular" w:hAnsi="Times New Roman Regular" w:eastAsia="楷体_GB2312" w:cs="Times New Roman Regular"/>
          <w:color w:val="auto"/>
          <w:kern w:val="2"/>
          <w:sz w:val="32"/>
          <w:szCs w:val="32"/>
          <w:lang w:val="en-US" w:eastAsia="zh-CN" w:bidi="ar-SA"/>
        </w:rPr>
        <w:t>目标、年度绩效目标</w:t>
      </w:r>
    </w:p>
    <w:p>
      <w:pPr>
        <w:keepNext w:val="0"/>
        <w:keepLines w:val="0"/>
        <w:pageBreakBefore w:val="0"/>
        <w:widowControl w:val="0"/>
        <w:kinsoku/>
        <w:wordWrap/>
        <w:overflowPunct/>
        <w:autoSpaceDE/>
        <w:autoSpaceDN/>
        <w:bidi w:val="0"/>
        <w:adjustRightInd/>
        <w:snapToGrid/>
        <w:spacing w:after="0" w:line="520" w:lineRule="exact"/>
        <w:ind w:firstLine="720"/>
        <w:jc w:val="both"/>
        <w:textAlignment w:val="auto"/>
        <w:rPr>
          <w:rFonts w:ascii="仿宋_GB2312" w:hAnsi="宋体" w:eastAsia="仿宋_GB2312" w:cs="Times New Roman"/>
          <w:sz w:val="32"/>
          <w:szCs w:val="32"/>
        </w:rPr>
      </w:pPr>
      <w:r>
        <w:rPr>
          <w:rFonts w:hint="eastAsia" w:ascii="仿宋_GB2312" w:hAnsi="宋体" w:eastAsia="仿宋_GB2312" w:cs="Times New Roman"/>
          <w:sz w:val="32"/>
          <w:szCs w:val="32"/>
          <w:lang w:val="zh-CN"/>
        </w:rPr>
        <w:t>1．项目主要内容：项目保障资金为</w:t>
      </w:r>
      <w:r>
        <w:rPr>
          <w:rFonts w:hint="eastAsia" w:ascii="仿宋_GB2312" w:hAnsi="宋体" w:eastAsia="仿宋_GB2312" w:cs="Times New Roman"/>
          <w:sz w:val="32"/>
          <w:szCs w:val="32"/>
          <w:lang w:val="en-US" w:eastAsia="zh-CN"/>
        </w:rPr>
        <w:t>13.77</w:t>
      </w:r>
      <w:r>
        <w:rPr>
          <w:rFonts w:hint="eastAsia" w:ascii="仿宋_GB2312" w:hAnsi="宋体" w:eastAsia="仿宋_GB2312" w:cs="Times New Roman"/>
          <w:sz w:val="32"/>
          <w:szCs w:val="32"/>
          <w:lang w:val="zh-CN"/>
        </w:rPr>
        <w:t>万元。</w:t>
      </w:r>
    </w:p>
    <w:p>
      <w:pPr>
        <w:keepNext w:val="0"/>
        <w:keepLines w:val="0"/>
        <w:pageBreakBefore w:val="0"/>
        <w:widowControl w:val="0"/>
        <w:kinsoku/>
        <w:wordWrap/>
        <w:overflowPunct/>
        <w:autoSpaceDE/>
        <w:autoSpaceDN/>
        <w:bidi w:val="0"/>
        <w:adjustRightInd/>
        <w:snapToGrid/>
        <w:spacing w:after="0" w:line="520" w:lineRule="exact"/>
        <w:ind w:firstLine="720"/>
        <w:jc w:val="both"/>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2．项目应实现的具体绩效目标：</w:t>
      </w:r>
      <w:r>
        <w:rPr>
          <w:rFonts w:hint="eastAsia" w:ascii="仿宋_GB2312" w:hAnsi="宋体" w:eastAsia="仿宋_GB2312" w:cs="Times New Roman"/>
          <w:sz w:val="32"/>
          <w:szCs w:val="32"/>
        </w:rPr>
        <w:t>对全县58个县级部门（乡镇）党组织、38个村（社区）党组织开展常规巡察、专项巡察、机动式巡察、巡察“回头看”，同时完成省委巡视整改工作。</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楷体_GB2312" w:cs="Times New Roman Regular"/>
          <w:color w:val="auto"/>
          <w:kern w:val="2"/>
          <w:sz w:val="32"/>
          <w:szCs w:val="32"/>
          <w:lang w:val="en-US" w:eastAsia="zh-CN" w:bidi="ar-SA"/>
        </w:rPr>
      </w:pPr>
      <w:r>
        <w:rPr>
          <w:rFonts w:ascii="Times New Roman Regular" w:hAnsi="Times New Roman Regular" w:eastAsia="楷体_GB2312" w:cs="Times New Roman Regular"/>
          <w:color w:val="auto"/>
          <w:kern w:val="2"/>
          <w:sz w:val="32"/>
          <w:szCs w:val="32"/>
          <w:lang w:val="en-US" w:eastAsia="zh-CN" w:bidi="ar-SA"/>
        </w:rPr>
        <w:t>（二）资金管理办法制定情况、申报项目的条件、范围与支持方式</w:t>
      </w:r>
    </w:p>
    <w:p>
      <w:pPr>
        <w:keepNext w:val="0"/>
        <w:keepLines w:val="0"/>
        <w:pageBreakBefore w:val="0"/>
        <w:widowControl w:val="0"/>
        <w:numPr>
          <w:ilvl w:val="0"/>
          <w:numId w:val="0"/>
        </w:numPr>
        <w:kinsoku/>
        <w:wordWrap/>
        <w:overflowPunct/>
        <w:autoSpaceDE/>
        <w:autoSpaceDN/>
        <w:bidi w:val="0"/>
        <w:adjustRightInd/>
        <w:snapToGrid/>
        <w:spacing w:line="520" w:lineRule="exact"/>
        <w:ind w:firstLine="640" w:firstLineChars="200"/>
        <w:jc w:val="both"/>
        <w:textAlignment w:val="auto"/>
        <w:rPr>
          <w:rFonts w:hint="eastAsia" w:ascii="Times New Roman Regular" w:hAnsi="Times New Roman Regular" w:eastAsia="仿宋_GB2312" w:cs="Times New Roman Regular"/>
          <w:color w:val="auto"/>
          <w:kern w:val="2"/>
          <w:sz w:val="32"/>
          <w:szCs w:val="32"/>
          <w:lang w:val="zh-CN" w:eastAsia="zh-CN" w:bidi="ar-SA"/>
        </w:rPr>
      </w:pPr>
      <w:r>
        <w:rPr>
          <w:rFonts w:hint="eastAsia" w:ascii="Times New Roman Regular" w:hAnsi="Times New Roman Regular" w:eastAsia="仿宋_GB2312" w:cs="Times New Roman Regular"/>
          <w:color w:val="auto"/>
          <w:kern w:val="2"/>
          <w:sz w:val="32"/>
          <w:szCs w:val="32"/>
          <w:lang w:val="zh-CN" w:eastAsia="zh-CN" w:bidi="ar-SA"/>
        </w:rPr>
        <w:t>制定了“三重一大”议事规则和实施细则，</w:t>
      </w:r>
      <w:r>
        <w:rPr>
          <w:rFonts w:hint="eastAsia" w:ascii="仿宋_GB2312" w:hAnsi="宋体" w:eastAsia="仿宋_GB2312" w:cs="Times New Roman"/>
          <w:color w:val="auto"/>
          <w:kern w:val="2"/>
          <w:sz w:val="32"/>
          <w:szCs w:val="32"/>
          <w:lang w:val="zh-CN" w:eastAsia="zh-CN" w:bidi="ar-SA"/>
        </w:rPr>
        <w:t>严格执行财务管理制度，账务处理及时，会计核算规范。</w:t>
      </w:r>
      <w:r>
        <w:rPr>
          <w:rFonts w:hint="eastAsia" w:ascii="Times New Roman Regular" w:hAnsi="Times New Roman Regular" w:eastAsia="仿宋_GB2312" w:cs="Times New Roman Regular"/>
          <w:color w:val="auto"/>
          <w:kern w:val="2"/>
          <w:sz w:val="32"/>
          <w:szCs w:val="32"/>
          <w:lang w:val="zh-CN" w:eastAsia="zh-CN" w:bidi="ar-SA"/>
        </w:rPr>
        <w:t>项目资金根据单位职责和年度目标计划、工作重点、工作运行保障申报，通过财政一体化系统的预算管理模块进行年度资金预算申报，采取向财政预算科“两上两下”的申报批复程序进行项目资金申报及批复。资金申报的依据和条件是根据中共四川省委办公厅《关于印发〈四川省市（州）、县（市、区）党委巡察工作办法〉的通知》文件要求，县委实行巡察制度，在一届任期内对所管理的党组织进行全面巡察，项目费用支出主要保障巡察宝兴产生的相关费用。该项目资金由县纪委统一监督管理，采取据实结算支付方式。</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楷体_GB2312" w:cs="Times New Roman Regular"/>
          <w:color w:val="auto"/>
          <w:kern w:val="2"/>
          <w:sz w:val="32"/>
          <w:szCs w:val="32"/>
          <w:lang w:val="en-US" w:eastAsia="zh-CN" w:bidi="ar-SA"/>
        </w:rPr>
      </w:pPr>
      <w:r>
        <w:rPr>
          <w:rFonts w:ascii="Times New Roman Regular" w:hAnsi="Times New Roman Regular" w:eastAsia="楷体_GB2312" w:cs="Times New Roman Regular"/>
          <w:color w:val="auto"/>
          <w:kern w:val="2"/>
          <w:sz w:val="32"/>
          <w:szCs w:val="32"/>
          <w:lang w:val="en-US" w:eastAsia="zh-CN" w:bidi="ar-SA"/>
        </w:rPr>
        <w:t>（三）项目资金使用情况</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hint="eastAsia"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仿宋_GB2312" w:cs="Times New Roman Regular"/>
          <w:color w:val="auto"/>
          <w:kern w:val="2"/>
          <w:sz w:val="32"/>
          <w:szCs w:val="32"/>
          <w:lang w:val="en-US" w:eastAsia="zh-CN" w:bidi="ar-SA"/>
        </w:rPr>
        <w:t>项目资金</w:t>
      </w:r>
      <w:r>
        <w:rPr>
          <w:rFonts w:hint="eastAsia" w:ascii="Times New Roman Regular" w:hAnsi="Times New Roman Regular" w:eastAsia="仿宋_GB2312" w:cs="Times New Roman Regular"/>
          <w:color w:val="auto"/>
          <w:kern w:val="2"/>
          <w:sz w:val="32"/>
          <w:szCs w:val="32"/>
          <w:lang w:val="en-US" w:eastAsia="zh-CN" w:bidi="ar-SA"/>
        </w:rPr>
        <w:t>2023年</w:t>
      </w:r>
      <w:r>
        <w:rPr>
          <w:rFonts w:ascii="Times New Roman Regular" w:hAnsi="Times New Roman Regular" w:eastAsia="仿宋_GB2312" w:cs="Times New Roman Regular"/>
          <w:color w:val="auto"/>
          <w:kern w:val="2"/>
          <w:sz w:val="32"/>
          <w:szCs w:val="32"/>
          <w:lang w:val="en-US" w:eastAsia="zh-CN" w:bidi="ar-SA"/>
        </w:rPr>
        <w:t>年度预算</w:t>
      </w:r>
      <w:r>
        <w:rPr>
          <w:rFonts w:hint="eastAsia" w:ascii="Times New Roman Regular" w:hAnsi="Times New Roman Regular" w:eastAsia="仿宋_GB2312" w:cs="Times New Roman Regular"/>
          <w:color w:val="auto"/>
          <w:kern w:val="2"/>
          <w:sz w:val="32"/>
          <w:szCs w:val="32"/>
          <w:lang w:val="en-US" w:eastAsia="zh-CN" w:bidi="ar-SA"/>
        </w:rPr>
        <w:t>13.77万元</w:t>
      </w:r>
      <w:r>
        <w:rPr>
          <w:rFonts w:ascii="Times New Roman Regular" w:hAnsi="Times New Roman Regular" w:eastAsia="仿宋_GB2312" w:cs="Times New Roman Regular"/>
          <w:color w:val="auto"/>
          <w:kern w:val="2"/>
          <w:sz w:val="32"/>
          <w:szCs w:val="32"/>
          <w:lang w:val="en-US" w:eastAsia="zh-CN" w:bidi="ar-SA"/>
        </w:rPr>
        <w:t>、实际执行</w:t>
      </w:r>
      <w:r>
        <w:rPr>
          <w:rFonts w:hint="eastAsia" w:ascii="Times New Roman Regular" w:hAnsi="Times New Roman Regular" w:eastAsia="仿宋_GB2312" w:cs="Times New Roman Regular"/>
          <w:color w:val="auto"/>
          <w:kern w:val="2"/>
          <w:sz w:val="32"/>
          <w:szCs w:val="32"/>
          <w:lang w:val="en-US" w:eastAsia="zh-CN" w:bidi="ar-SA"/>
        </w:rPr>
        <w:t>13.77万元</w:t>
      </w:r>
      <w:r>
        <w:rPr>
          <w:rFonts w:ascii="Times New Roman Regular" w:hAnsi="Times New Roman Regular" w:eastAsia="仿宋_GB2312" w:cs="Times New Roman Regular"/>
          <w:color w:val="auto"/>
          <w:kern w:val="2"/>
          <w:sz w:val="32"/>
          <w:szCs w:val="32"/>
          <w:lang w:val="en-US" w:eastAsia="zh-CN" w:bidi="ar-SA"/>
        </w:rPr>
        <w:t>、执行率</w:t>
      </w:r>
      <w:r>
        <w:rPr>
          <w:rFonts w:hint="eastAsia" w:ascii="Times New Roman Regular" w:hAnsi="Times New Roman Regular" w:eastAsia="仿宋_GB2312" w:cs="Times New Roman Regular"/>
          <w:color w:val="auto"/>
          <w:kern w:val="2"/>
          <w:sz w:val="32"/>
          <w:szCs w:val="32"/>
          <w:lang w:val="en-US" w:eastAsia="zh-CN" w:bidi="ar-SA"/>
        </w:rPr>
        <w:t>为100%，无</w:t>
      </w:r>
      <w:r>
        <w:rPr>
          <w:rFonts w:ascii="Times New Roman Regular" w:hAnsi="Times New Roman Regular" w:eastAsia="仿宋_GB2312" w:cs="Times New Roman Regular"/>
          <w:color w:val="auto"/>
          <w:kern w:val="2"/>
          <w:sz w:val="32"/>
          <w:szCs w:val="32"/>
          <w:lang w:val="en-US" w:eastAsia="zh-CN" w:bidi="ar-SA"/>
        </w:rPr>
        <w:t>项目资金结余结转</w:t>
      </w:r>
      <w:r>
        <w:rPr>
          <w:rFonts w:hint="eastAsia" w:ascii="Times New Roman Regular" w:hAnsi="Times New Roman Regular" w:eastAsia="仿宋_GB2312" w:cs="Times New Roman Regular"/>
          <w:color w:val="auto"/>
          <w:kern w:val="2"/>
          <w:sz w:val="32"/>
          <w:szCs w:val="32"/>
          <w:lang w:val="en-US" w:eastAsia="zh-CN" w:bidi="ar-SA"/>
        </w:rPr>
        <w:t>。</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黑体" w:cs="Times New Roman Regular"/>
          <w:color w:val="auto"/>
          <w:kern w:val="2"/>
          <w:sz w:val="32"/>
          <w:szCs w:val="32"/>
          <w:lang w:val="en-US" w:eastAsia="zh-CN" w:bidi="ar-SA"/>
        </w:rPr>
      </w:pPr>
      <w:r>
        <w:rPr>
          <w:rFonts w:ascii="Times New Roman Regular" w:hAnsi="Times New Roman Regular" w:eastAsia="黑体" w:cs="Times New Roman Regular"/>
          <w:color w:val="auto"/>
          <w:kern w:val="2"/>
          <w:sz w:val="32"/>
          <w:szCs w:val="32"/>
          <w:lang w:val="en-US" w:eastAsia="zh-CN" w:bidi="ar-SA"/>
        </w:rPr>
        <w:t>二、评价结论及绩效分析</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楷体_GB2312" w:cs="Times New Roman Regular"/>
          <w:color w:val="auto"/>
          <w:kern w:val="2"/>
          <w:sz w:val="32"/>
          <w:szCs w:val="32"/>
          <w:lang w:val="en-US" w:eastAsia="zh-CN" w:bidi="ar-SA"/>
        </w:rPr>
      </w:pPr>
      <w:r>
        <w:rPr>
          <w:rFonts w:ascii="Times New Roman Regular" w:hAnsi="Times New Roman Regular" w:eastAsia="楷体_GB2312" w:cs="Times New Roman Regular"/>
          <w:color w:val="auto"/>
          <w:kern w:val="2"/>
          <w:sz w:val="32"/>
          <w:szCs w:val="32"/>
          <w:lang w:val="en-US" w:eastAsia="zh-CN" w:bidi="ar-SA"/>
        </w:rPr>
        <w:t>（一）评价结论</w:t>
      </w:r>
    </w:p>
    <w:p>
      <w:pPr>
        <w:keepNext w:val="0"/>
        <w:keepLines w:val="0"/>
        <w:pageBreakBefore w:val="0"/>
        <w:widowControl w:val="0"/>
        <w:kinsoku/>
        <w:wordWrap/>
        <w:overflowPunct/>
        <w:autoSpaceDE/>
        <w:autoSpaceDN/>
        <w:bidi w:val="0"/>
        <w:adjustRightInd/>
        <w:snapToGrid/>
        <w:spacing w:line="520" w:lineRule="exact"/>
        <w:ind w:firstLine="960" w:firstLineChars="300"/>
        <w:jc w:val="left"/>
        <w:textAlignment w:val="auto"/>
        <w:rPr>
          <w:rFonts w:ascii="Times New Roman Regular" w:hAnsi="Times New Roman Regular" w:eastAsia="仿宋_GB2312" w:cs="Times New Roman Regular"/>
          <w:color w:val="auto"/>
          <w:kern w:val="2"/>
          <w:sz w:val="32"/>
          <w:szCs w:val="32"/>
          <w:lang w:val="en-US" w:eastAsia="zh-CN" w:bidi="ar-SA"/>
        </w:rPr>
      </w:pPr>
      <w:r>
        <w:rPr>
          <w:rFonts w:hint="eastAsia" w:ascii="仿宋_GB2312" w:hAnsi="宋体" w:eastAsia="仿宋_GB2312" w:cs="Times New Roman"/>
          <w:color w:val="000000"/>
          <w:kern w:val="0"/>
          <w:sz w:val="32"/>
          <w:szCs w:val="32"/>
          <w:lang w:val="zh-CN" w:eastAsia="zh-CN" w:bidi="ar-SA"/>
        </w:rPr>
        <w:t>结合项目自身特点、评价重点及管理办法等要求，围绕专项项目支出绩效评价指标体系对该项目进行总体评价: 巡察保障经费</w:t>
      </w:r>
      <w:r>
        <w:rPr>
          <w:rFonts w:hint="eastAsia" w:ascii="仿宋_GB2312" w:hAnsi="宋体" w:eastAsia="仿宋_GB2312" w:cs="Times New Roman"/>
          <w:color w:val="000000"/>
          <w:kern w:val="0"/>
          <w:sz w:val="32"/>
          <w:szCs w:val="32"/>
          <w:lang w:val="en-US" w:eastAsia="zh-CN" w:bidi="ar-SA"/>
        </w:rPr>
        <w:t>专项资金预算项目保障全年巡察经费支出，</w:t>
      </w:r>
      <w:r>
        <w:rPr>
          <w:rFonts w:hint="eastAsia" w:ascii="仿宋_GB2312" w:hAnsi="宋体" w:eastAsia="仿宋_GB2312" w:cs="Times New Roman"/>
          <w:color w:val="000000"/>
          <w:kern w:val="0"/>
          <w:sz w:val="32"/>
          <w:szCs w:val="32"/>
          <w:lang w:val="zh-CN" w:eastAsia="zh-CN" w:bidi="ar-SA"/>
        </w:rPr>
        <w:t>提高巡察工作质量，组织巡察干部培训，营造风清气正的政治生态，服务群众等工作，得分</w:t>
      </w:r>
      <w:r>
        <w:rPr>
          <w:rFonts w:hint="eastAsia" w:ascii="仿宋_GB2312" w:hAnsi="宋体" w:eastAsia="仿宋_GB2312" w:cs="Times New Roman"/>
          <w:color w:val="000000"/>
          <w:kern w:val="0"/>
          <w:sz w:val="32"/>
          <w:szCs w:val="32"/>
          <w:lang w:val="en-US" w:eastAsia="zh-CN" w:bidi="ar-SA"/>
        </w:rPr>
        <w:t>100分</w:t>
      </w:r>
      <w:r>
        <w:rPr>
          <w:rFonts w:ascii="Times New Roman Regular" w:hAnsi="Times New Roman Regular" w:eastAsia="仿宋_GB2312" w:cs="Times New Roman Regular"/>
          <w:color w:val="auto"/>
          <w:kern w:val="2"/>
          <w:sz w:val="32"/>
          <w:szCs w:val="32"/>
          <w:lang w:val="en-US" w:eastAsia="zh-CN" w:bidi="ar-SA"/>
        </w:rPr>
        <w:t>。</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楷体_GB2312" w:cs="Times New Roman Regular"/>
          <w:color w:val="auto"/>
          <w:kern w:val="2"/>
          <w:sz w:val="32"/>
          <w:szCs w:val="32"/>
          <w:lang w:val="en-US" w:eastAsia="zh-CN" w:bidi="ar-SA"/>
        </w:rPr>
      </w:pPr>
      <w:r>
        <w:rPr>
          <w:rFonts w:ascii="Times New Roman Regular" w:hAnsi="Times New Roman Regular" w:eastAsia="楷体_GB2312" w:cs="Times New Roman Regular"/>
          <w:color w:val="auto"/>
          <w:kern w:val="2"/>
          <w:sz w:val="32"/>
          <w:szCs w:val="32"/>
          <w:lang w:val="en-US" w:eastAsia="zh-CN" w:bidi="ar-SA"/>
        </w:rPr>
        <w:t>（二）绩效分析</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仿宋_GB2312" w:cs="Times New Roman Regular"/>
          <w:color w:val="auto"/>
          <w:kern w:val="2"/>
          <w:sz w:val="32"/>
          <w:szCs w:val="32"/>
          <w:lang w:val="en-US" w:eastAsia="zh-CN" w:bidi="ar-SA"/>
        </w:rPr>
        <w:t>1</w:t>
      </w:r>
      <w:r>
        <w:rPr>
          <w:rFonts w:hint="eastAsia" w:ascii="Times New Roman Regular" w:hAnsi="Times New Roman Regular" w:eastAsia="仿宋_GB2312" w:cs="Times New Roman Regular"/>
          <w:color w:val="auto"/>
          <w:kern w:val="2"/>
          <w:sz w:val="32"/>
          <w:szCs w:val="32"/>
          <w:lang w:val="en-US" w:eastAsia="zh-CN" w:bidi="ar-SA"/>
        </w:rPr>
        <w:t>.</w:t>
      </w:r>
      <w:r>
        <w:rPr>
          <w:rFonts w:ascii="Times New Roman Regular" w:hAnsi="Times New Roman Regular" w:eastAsia="仿宋_GB2312" w:cs="Times New Roman Regular"/>
          <w:color w:val="auto"/>
          <w:kern w:val="2"/>
          <w:sz w:val="32"/>
          <w:szCs w:val="32"/>
          <w:lang w:val="en-US" w:eastAsia="zh-CN" w:bidi="ar-SA"/>
        </w:rPr>
        <w:t>项目决策指标分析</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hint="eastAsia"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zh-CN" w:eastAsia="zh-CN" w:bidi="ar-SA"/>
        </w:rPr>
        <w:t>“巡察保障经费”</w:t>
      </w:r>
      <w:r>
        <w:rPr>
          <w:rFonts w:hint="eastAsia" w:ascii="Times New Roman Regular" w:hAnsi="Times New Roman Regular" w:eastAsia="仿宋_GB2312" w:cs="Times New Roman Regular"/>
          <w:color w:val="auto"/>
          <w:kern w:val="2"/>
          <w:sz w:val="32"/>
          <w:szCs w:val="32"/>
          <w:lang w:val="en-US" w:eastAsia="zh-CN" w:bidi="ar-SA"/>
        </w:rPr>
        <w:t>项目设立程序严密</w:t>
      </w:r>
      <w:r>
        <w:rPr>
          <w:rFonts w:hint="eastAsia" w:ascii="Times New Roman Regular" w:hAnsi="Times New Roman Regular" w:eastAsia="仿宋_GB2312" w:cs="Times New Roman Regular"/>
          <w:color w:val="auto"/>
          <w:kern w:val="2"/>
          <w:sz w:val="32"/>
          <w:szCs w:val="32"/>
          <w:lang w:val="zh-CN" w:eastAsia="zh-CN" w:bidi="ar-SA"/>
        </w:rPr>
        <w:t>，预算规划合理，项目制度健全，经费保障目标清晰。</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仿宋_GB2312" w:cs="Times New Roman Regular"/>
          <w:color w:val="auto"/>
          <w:kern w:val="2"/>
          <w:sz w:val="32"/>
          <w:szCs w:val="32"/>
          <w:lang w:val="en-US" w:eastAsia="zh-CN" w:bidi="ar-SA"/>
        </w:rPr>
        <w:t>2</w:t>
      </w:r>
      <w:r>
        <w:rPr>
          <w:rFonts w:hint="eastAsia" w:ascii="Times New Roman Regular" w:hAnsi="Times New Roman Regular" w:eastAsia="仿宋_GB2312" w:cs="Times New Roman Regular"/>
          <w:color w:val="auto"/>
          <w:kern w:val="2"/>
          <w:sz w:val="32"/>
          <w:szCs w:val="32"/>
          <w:lang w:val="en-US" w:eastAsia="zh-CN" w:bidi="ar-SA"/>
        </w:rPr>
        <w:t>.</w:t>
      </w:r>
      <w:r>
        <w:rPr>
          <w:rFonts w:ascii="Times New Roman Regular" w:hAnsi="Times New Roman Regular" w:eastAsia="仿宋_GB2312" w:cs="Times New Roman Regular"/>
          <w:color w:val="auto"/>
          <w:kern w:val="2"/>
          <w:sz w:val="32"/>
          <w:szCs w:val="32"/>
          <w:lang w:val="en-US" w:eastAsia="zh-CN" w:bidi="ar-SA"/>
        </w:rPr>
        <w:t>预算管理指标分析</w:t>
      </w:r>
    </w:p>
    <w:p>
      <w:pPr>
        <w:keepNext w:val="0"/>
        <w:keepLines w:val="0"/>
        <w:pageBreakBefore w:val="0"/>
        <w:widowControl w:val="0"/>
        <w:numPr>
          <w:ilvl w:val="0"/>
          <w:numId w:val="0"/>
        </w:numPr>
        <w:kinsoku/>
        <w:wordWrap/>
        <w:overflowPunct/>
        <w:autoSpaceDE/>
        <w:autoSpaceDN/>
        <w:bidi w:val="0"/>
        <w:adjustRightInd/>
        <w:snapToGrid/>
        <w:spacing w:line="520" w:lineRule="exact"/>
        <w:ind w:firstLine="640" w:firstLineChars="200"/>
        <w:jc w:val="both"/>
        <w:textAlignment w:val="auto"/>
        <w:rPr>
          <w:rFonts w:hint="eastAsia"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CN" w:bidi="ar-SA"/>
        </w:rPr>
        <w:t>“</w:t>
      </w:r>
      <w:r>
        <w:rPr>
          <w:rFonts w:hint="eastAsia" w:ascii="Times New Roman Regular" w:hAnsi="Times New Roman Regular" w:eastAsia="仿宋_GB2312" w:cs="Times New Roman Regular"/>
          <w:color w:val="auto"/>
          <w:kern w:val="2"/>
          <w:sz w:val="32"/>
          <w:szCs w:val="32"/>
          <w:lang w:val="zh-CN" w:eastAsia="zh-CN" w:bidi="ar-SA"/>
        </w:rPr>
        <w:t>巡察保障经费</w:t>
      </w:r>
      <w:r>
        <w:rPr>
          <w:rFonts w:hint="eastAsia" w:ascii="Times New Roman Regular" w:hAnsi="Times New Roman Regular" w:eastAsia="仿宋_GB2312" w:cs="Times New Roman Regular"/>
          <w:color w:val="auto"/>
          <w:kern w:val="2"/>
          <w:sz w:val="32"/>
          <w:szCs w:val="32"/>
          <w:lang w:val="en-US" w:eastAsia="zh-CN" w:bidi="ar-SA"/>
        </w:rPr>
        <w:t>”项目预算通过县财政“两上两下”方式进行编制、审批，项目资金根据工作开展进度实时审核支付，无资金分配拨付。</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仿宋_GB2312" w:cs="Times New Roman Regular"/>
          <w:color w:val="auto"/>
          <w:kern w:val="2"/>
          <w:sz w:val="32"/>
          <w:szCs w:val="32"/>
          <w:lang w:val="en-US" w:eastAsia="zh-CN" w:bidi="ar-SA"/>
        </w:rPr>
        <w:t>3</w:t>
      </w:r>
      <w:r>
        <w:rPr>
          <w:rFonts w:hint="eastAsia" w:ascii="Times New Roman Regular" w:hAnsi="Times New Roman Regular" w:eastAsia="仿宋_GB2312" w:cs="Times New Roman Regular"/>
          <w:color w:val="auto"/>
          <w:kern w:val="2"/>
          <w:sz w:val="32"/>
          <w:szCs w:val="32"/>
          <w:lang w:val="en-US" w:eastAsia="zh-CN" w:bidi="ar-SA"/>
        </w:rPr>
        <w:t>.</w:t>
      </w:r>
      <w:r>
        <w:rPr>
          <w:rFonts w:ascii="Times New Roman Regular" w:hAnsi="Times New Roman Regular" w:eastAsia="仿宋_GB2312" w:cs="Times New Roman Regular"/>
          <w:color w:val="auto"/>
          <w:kern w:val="2"/>
          <w:sz w:val="32"/>
          <w:szCs w:val="32"/>
          <w:lang w:val="en-US" w:eastAsia="zh-CN" w:bidi="ar-SA"/>
        </w:rPr>
        <w:t>项目实施指标分析</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仿宋_GB2312" w:cs="Times New Roman Regular"/>
          <w:color w:val="auto"/>
          <w:kern w:val="2"/>
          <w:sz w:val="32"/>
          <w:szCs w:val="32"/>
          <w:lang w:val="en-US" w:eastAsia="zh-CN" w:bidi="ar-SA"/>
        </w:rPr>
        <w:t>项目实施结果</w:t>
      </w:r>
      <w:r>
        <w:rPr>
          <w:rFonts w:hint="eastAsia" w:ascii="Times New Roman Regular" w:hAnsi="Times New Roman Regular" w:eastAsia="仿宋_GB2312" w:cs="Times New Roman Regular"/>
          <w:color w:val="auto"/>
          <w:kern w:val="2"/>
          <w:sz w:val="32"/>
          <w:szCs w:val="32"/>
          <w:lang w:val="en-US" w:eastAsia="zh-CN" w:bidi="ar-SA"/>
        </w:rPr>
        <w:t>与年初预算相</w:t>
      </w:r>
      <w:r>
        <w:rPr>
          <w:rFonts w:ascii="Times New Roman Regular" w:hAnsi="Times New Roman Regular" w:eastAsia="仿宋_GB2312" w:cs="Times New Roman Regular"/>
          <w:color w:val="auto"/>
          <w:kern w:val="2"/>
          <w:sz w:val="32"/>
          <w:szCs w:val="32"/>
          <w:lang w:val="en-US" w:eastAsia="zh-CN" w:bidi="ar-SA"/>
        </w:rPr>
        <w:t>符合、管理规范、资金配套及时</w:t>
      </w:r>
      <w:r>
        <w:rPr>
          <w:rFonts w:hint="eastAsia" w:ascii="Times New Roman Regular" w:hAnsi="Times New Roman Regular" w:eastAsia="仿宋_GB2312" w:cs="Times New Roman Regular"/>
          <w:color w:val="auto"/>
          <w:kern w:val="2"/>
          <w:sz w:val="32"/>
          <w:szCs w:val="32"/>
          <w:lang w:val="en-US" w:eastAsia="zh-CN" w:bidi="ar-SA"/>
        </w:rPr>
        <w:t>，全部为县级财政资金，无其他配套资金</w:t>
      </w:r>
      <w:r>
        <w:rPr>
          <w:rFonts w:ascii="Times New Roman Regular" w:hAnsi="Times New Roman Regular" w:eastAsia="仿宋_GB2312" w:cs="Times New Roman Regular"/>
          <w:color w:val="auto"/>
          <w:kern w:val="2"/>
          <w:sz w:val="32"/>
          <w:szCs w:val="32"/>
          <w:lang w:val="en-US" w:eastAsia="zh-CN" w:bidi="ar-SA"/>
        </w:rPr>
        <w:t>。</w:t>
      </w:r>
    </w:p>
    <w:p>
      <w:pPr>
        <w:keepNext w:val="0"/>
        <w:keepLines w:val="0"/>
        <w:pageBreakBefore w:val="0"/>
        <w:widowControl w:val="0"/>
        <w:numPr>
          <w:ilvl w:val="0"/>
          <w:numId w:val="0"/>
        </w:numPr>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CN" w:bidi="ar-SA"/>
        </w:rPr>
        <w:t>4.</w:t>
      </w:r>
      <w:r>
        <w:rPr>
          <w:rFonts w:ascii="Times New Roman Regular" w:hAnsi="Times New Roman Regular" w:eastAsia="仿宋_GB2312" w:cs="Times New Roman Regular"/>
          <w:color w:val="auto"/>
          <w:kern w:val="2"/>
          <w:sz w:val="32"/>
          <w:szCs w:val="32"/>
          <w:lang w:val="en-US" w:eastAsia="zh-CN" w:bidi="ar-SA"/>
        </w:rPr>
        <w:t>产出指标分析</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hint="default" w:ascii="Times New Roman" w:hAnsi="Times New Roman" w:eastAsia="仿宋_GB2312" w:cs="Times New Roman"/>
          <w:color w:val="000000"/>
          <w:kern w:val="2"/>
          <w:sz w:val="32"/>
          <w:szCs w:val="32"/>
          <w:u w:val="none"/>
          <w:lang w:val="en-US" w:eastAsia="zh-CN" w:bidi="ar-SA"/>
        </w:rPr>
        <w:t>严守巡察政治责任</w:t>
      </w:r>
      <w:r>
        <w:rPr>
          <w:rFonts w:hint="eastAsia" w:ascii="Times New Roman" w:hAnsi="Times New Roman" w:eastAsia="仿宋_GB2312" w:cs="Times New Roman"/>
          <w:color w:val="000000"/>
          <w:kern w:val="2"/>
          <w:sz w:val="32"/>
          <w:szCs w:val="32"/>
          <w:u w:val="none"/>
          <w:lang w:val="en-US" w:eastAsia="zh-CN" w:bidi="ar-SA"/>
        </w:rPr>
        <w:t>，</w:t>
      </w:r>
      <w:r>
        <w:rPr>
          <w:rFonts w:hint="default" w:ascii="Times New Roman" w:hAnsi="Times New Roman" w:eastAsia="仿宋_GB2312" w:cs="Times New Roman"/>
          <w:color w:val="000000"/>
          <w:kern w:val="2"/>
          <w:sz w:val="32"/>
          <w:szCs w:val="32"/>
          <w:u w:val="none"/>
          <w:lang w:val="en-US" w:eastAsia="zh-CN" w:bidi="ar-SA"/>
        </w:rPr>
        <w:t>先后8次召开县委常委会、书记</w:t>
      </w:r>
      <w:r>
        <w:rPr>
          <w:rFonts w:hint="eastAsia" w:ascii="Times New Roman" w:hAnsi="Times New Roman" w:eastAsia="仿宋_GB2312" w:cs="Times New Roman"/>
          <w:color w:val="000000"/>
          <w:kern w:val="2"/>
          <w:sz w:val="32"/>
          <w:szCs w:val="32"/>
          <w:u w:val="none"/>
          <w:lang w:val="en-US" w:eastAsia="zh-CN" w:bidi="ar-SA"/>
        </w:rPr>
        <w:t>专题</w:t>
      </w:r>
      <w:r>
        <w:rPr>
          <w:rFonts w:hint="default" w:ascii="Times New Roman" w:hAnsi="Times New Roman" w:eastAsia="仿宋_GB2312" w:cs="Times New Roman"/>
          <w:color w:val="000000"/>
          <w:kern w:val="2"/>
          <w:sz w:val="32"/>
          <w:szCs w:val="32"/>
          <w:u w:val="none"/>
          <w:lang w:val="en-US" w:eastAsia="zh-CN" w:bidi="ar-SA"/>
        </w:rPr>
        <w:t>会及县委巡察工作领导小组会，学习上级巡视巡察文件精神，听取巡察工作情况报告，研究部署巡察方案。落实巡察全覆盖要求</w:t>
      </w:r>
      <w:r>
        <w:rPr>
          <w:rFonts w:hint="eastAsia" w:ascii="Times New Roman" w:hAnsi="Times New Roman" w:eastAsia="仿宋_GB2312" w:cs="Times New Roman"/>
          <w:color w:val="000000"/>
          <w:kern w:val="2"/>
          <w:sz w:val="32"/>
          <w:szCs w:val="32"/>
          <w:u w:val="none"/>
          <w:lang w:val="en-US" w:eastAsia="zh-CN" w:bidi="ar-SA"/>
        </w:rPr>
        <w:t>，</w:t>
      </w:r>
      <w:r>
        <w:rPr>
          <w:rFonts w:hint="default" w:ascii="Times New Roman" w:hAnsi="Times New Roman" w:eastAsia="仿宋_GB2312" w:cs="Times New Roman"/>
          <w:color w:val="000000"/>
          <w:kern w:val="2"/>
          <w:sz w:val="32"/>
          <w:szCs w:val="32"/>
          <w:u w:val="none"/>
          <w:lang w:val="en-US" w:eastAsia="zh-CN" w:bidi="ar-SA"/>
        </w:rPr>
        <w:t>全年开展两轮常规巡察，共巡察9个单位（部门）、3个乡（镇）、15个村（社区），</w:t>
      </w:r>
      <w:r>
        <w:rPr>
          <w:rFonts w:hint="eastAsia" w:eastAsia="仿宋_GB2312" w:cs="Times New Roman"/>
          <w:color w:val="000000"/>
          <w:kern w:val="2"/>
          <w:sz w:val="32"/>
          <w:szCs w:val="32"/>
          <w:u w:val="none"/>
          <w:lang w:val="en-US" w:eastAsia="zh-CN" w:bidi="ar-SA"/>
        </w:rPr>
        <w:t>已</w:t>
      </w:r>
      <w:r>
        <w:rPr>
          <w:rFonts w:hint="default" w:ascii="Times New Roman" w:hAnsi="Times New Roman" w:eastAsia="仿宋_GB2312" w:cs="Times New Roman"/>
          <w:color w:val="000000"/>
          <w:kern w:val="2"/>
          <w:sz w:val="32"/>
          <w:szCs w:val="32"/>
          <w:u w:val="none"/>
          <w:lang w:val="en-US" w:eastAsia="zh-CN" w:bidi="ar-SA"/>
        </w:rPr>
        <w:t>完成被巡对象总数的52.6%。</w:t>
      </w:r>
    </w:p>
    <w:p>
      <w:pPr>
        <w:keepNext w:val="0"/>
        <w:keepLines w:val="0"/>
        <w:pageBreakBefore w:val="0"/>
        <w:widowControl w:val="0"/>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仿宋_GB2312" w:cs="Times New Roman Regular"/>
          <w:color w:val="auto"/>
          <w:kern w:val="2"/>
          <w:sz w:val="32"/>
          <w:szCs w:val="32"/>
          <w:lang w:val="en-US" w:eastAsia="zh-CN" w:bidi="ar-SA"/>
        </w:rPr>
      </w:pPr>
      <w:r>
        <w:rPr>
          <w:rFonts w:ascii="Times New Roman Regular" w:hAnsi="Times New Roman Regular" w:eastAsia="仿宋_GB2312" w:cs="Times New Roman Regular"/>
          <w:color w:val="auto"/>
          <w:kern w:val="2"/>
          <w:sz w:val="32"/>
          <w:szCs w:val="32"/>
          <w:lang w:val="en-US" w:eastAsia="zh-CN" w:bidi="ar-SA"/>
        </w:rPr>
        <w:t>5</w:t>
      </w:r>
      <w:r>
        <w:rPr>
          <w:rFonts w:hint="eastAsia" w:ascii="Times New Roman Regular" w:hAnsi="Times New Roman Regular" w:eastAsia="仿宋_GB2312" w:cs="Times New Roman Regular"/>
          <w:color w:val="auto"/>
          <w:kern w:val="2"/>
          <w:sz w:val="32"/>
          <w:szCs w:val="32"/>
          <w:lang w:val="en-US" w:eastAsia="zh-CN" w:bidi="ar-SA"/>
        </w:rPr>
        <w:t>.</w:t>
      </w:r>
      <w:r>
        <w:rPr>
          <w:rFonts w:ascii="Times New Roman Regular" w:hAnsi="Times New Roman Regular" w:eastAsia="仿宋_GB2312" w:cs="Times New Roman Regular"/>
          <w:color w:val="auto"/>
          <w:kern w:val="2"/>
          <w:sz w:val="32"/>
          <w:szCs w:val="32"/>
          <w:lang w:val="en-US" w:eastAsia="zh-CN" w:bidi="ar-SA"/>
        </w:rPr>
        <w:t>效果指标分析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en-US" w:eastAsia="zh-CN"/>
        </w:rPr>
        <w:t>该项目保障巡察工作相关经费，提</w:t>
      </w:r>
      <w:r>
        <w:rPr>
          <w:rFonts w:hint="eastAsia" w:ascii="仿宋_GB2312" w:hAnsi="宋体" w:eastAsia="仿宋_GB2312" w:cs="Times New Roman"/>
          <w:sz w:val="32"/>
          <w:szCs w:val="32"/>
        </w:rPr>
        <w:t>高巡察工作质量，组织巡察干部培训，营造风清气正的政治生态，服务群众等工作</w:t>
      </w:r>
      <w:r>
        <w:rPr>
          <w:rFonts w:hint="eastAsia" w:ascii="仿宋_GB2312" w:hAnsi="宋体" w:eastAsia="仿宋_GB2312" w:cs="Times New Roman"/>
          <w:sz w:val="32"/>
          <w:szCs w:val="32"/>
          <w:lang w:val="en-US" w:eastAsia="zh-CN"/>
        </w:rPr>
        <w:t>得到更好的开展，</w:t>
      </w:r>
      <w:r>
        <w:rPr>
          <w:rFonts w:hint="default" w:ascii="仿宋_GB2312" w:hAnsi="宋体" w:eastAsia="仿宋_GB2312" w:cs="Times New Roman"/>
          <w:sz w:val="32"/>
          <w:szCs w:val="32"/>
          <w:lang w:val="en-US" w:eastAsia="zh-CN"/>
        </w:rPr>
        <w:t>在促改促建促治上增</w:t>
      </w:r>
      <w:r>
        <w:rPr>
          <w:rFonts w:hint="eastAsia" w:ascii="仿宋_GB2312" w:hAnsi="宋体" w:eastAsia="仿宋_GB2312" w:cs="Times New Roman"/>
          <w:sz w:val="32"/>
          <w:szCs w:val="32"/>
          <w:lang w:val="en-US" w:eastAsia="zh-CN"/>
        </w:rPr>
        <w:t>加</w:t>
      </w:r>
      <w:r>
        <w:rPr>
          <w:rFonts w:hint="default" w:ascii="仿宋_GB2312" w:hAnsi="宋体" w:eastAsia="仿宋_GB2312" w:cs="Times New Roman"/>
          <w:sz w:val="32"/>
          <w:szCs w:val="32"/>
          <w:lang w:val="en-US" w:eastAsia="zh-CN"/>
        </w:rPr>
        <w:t>实效。强化巡察后半篇文章，制发</w:t>
      </w:r>
      <w:r>
        <w:rPr>
          <w:rFonts w:hint="eastAsia" w:ascii="仿宋_GB2312" w:hAnsi="宋体" w:eastAsia="仿宋_GB2312" w:cs="Times New Roman"/>
          <w:sz w:val="32"/>
          <w:szCs w:val="32"/>
          <w:lang w:val="en-US" w:eastAsia="zh-CN"/>
        </w:rPr>
        <w:t>《巡察整改</w:t>
      </w:r>
      <w:r>
        <w:rPr>
          <w:rFonts w:hint="default" w:ascii="仿宋_GB2312" w:hAnsi="宋体" w:eastAsia="仿宋_GB2312" w:cs="Times New Roman"/>
          <w:sz w:val="32"/>
          <w:szCs w:val="32"/>
          <w:lang w:val="en-US" w:eastAsia="zh-CN"/>
        </w:rPr>
        <w:t>七张责任清单</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，细化整改工作责任体系，全年共17名县领导参加巡察问题反馈会或反馈问题整改民主生活会，第二轮反馈问题整改完成</w:t>
      </w:r>
      <w:r>
        <w:rPr>
          <w:rFonts w:hint="eastAsia" w:ascii="仿宋_GB2312" w:hAnsi="宋体" w:eastAsia="仿宋_GB2312" w:cs="Times New Roman"/>
          <w:sz w:val="32"/>
          <w:szCs w:val="32"/>
          <w:lang w:val="en-US" w:eastAsia="zh-CN"/>
        </w:rPr>
        <w:t>率</w:t>
      </w:r>
      <w:r>
        <w:rPr>
          <w:rFonts w:hint="default" w:ascii="仿宋_GB2312" w:hAnsi="宋体" w:eastAsia="仿宋_GB2312" w:cs="Times New Roman"/>
          <w:sz w:val="32"/>
          <w:szCs w:val="32"/>
          <w:lang w:val="en-US" w:eastAsia="zh-CN"/>
        </w:rPr>
        <w:t>达95.3%。</w:t>
      </w:r>
    </w:p>
    <w:p>
      <w:pPr>
        <w:keepNext w:val="0"/>
        <w:keepLines w:val="0"/>
        <w:pageBreakBefore w:val="0"/>
        <w:widowControl w:val="0"/>
        <w:numPr>
          <w:ilvl w:val="0"/>
          <w:numId w:val="8"/>
        </w:numPr>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黑体" w:cs="Times New Roman Regular"/>
          <w:color w:val="auto"/>
          <w:kern w:val="2"/>
          <w:sz w:val="32"/>
          <w:szCs w:val="32"/>
          <w:lang w:val="en-US" w:eastAsia="zh-CN" w:bidi="ar-SA"/>
        </w:rPr>
      </w:pPr>
      <w:r>
        <w:rPr>
          <w:rFonts w:ascii="Times New Roman Regular" w:hAnsi="Times New Roman Regular" w:eastAsia="黑体" w:cs="Times New Roman Regular"/>
          <w:color w:val="auto"/>
          <w:kern w:val="2"/>
          <w:sz w:val="32"/>
          <w:szCs w:val="32"/>
          <w:lang w:val="en-US" w:eastAsia="zh-CN" w:bidi="ar-SA"/>
        </w:rPr>
        <w:t>存在主要问题</w:t>
      </w:r>
    </w:p>
    <w:p>
      <w:pPr>
        <w:keepNext w:val="0"/>
        <w:keepLines w:val="0"/>
        <w:pageBreakBefore w:val="0"/>
        <w:widowControl w:val="0"/>
        <w:numPr>
          <w:ilvl w:val="0"/>
          <w:numId w:val="0"/>
        </w:numPr>
        <w:kinsoku/>
        <w:wordWrap/>
        <w:overflowPunct/>
        <w:autoSpaceDE/>
        <w:autoSpaceDN/>
        <w:bidi w:val="0"/>
        <w:adjustRightInd/>
        <w:snapToGrid/>
        <w:spacing w:line="520" w:lineRule="exact"/>
        <w:ind w:firstLine="640" w:firstLineChars="200"/>
        <w:jc w:val="both"/>
        <w:textAlignment w:val="auto"/>
        <w:rPr>
          <w:rFonts w:ascii="Times New Roman Regular" w:hAnsi="Times New Roman Regular" w:eastAsia="黑体" w:cs="Times New Roman Regular"/>
          <w:color w:val="auto"/>
          <w:kern w:val="2"/>
          <w:sz w:val="32"/>
          <w:szCs w:val="32"/>
          <w:lang w:val="en-US" w:eastAsia="zh-CN" w:bidi="ar-SA"/>
        </w:rPr>
      </w:pPr>
      <w:r>
        <w:rPr>
          <w:rFonts w:hint="eastAsia" w:ascii="仿宋_GB2312" w:hAnsi="??" w:eastAsia="仿宋_GB2312" w:cs="Times New Roman"/>
          <w:bCs/>
          <w:color w:val="000000"/>
          <w:kern w:val="0"/>
          <w:sz w:val="32"/>
          <w:szCs w:val="32"/>
          <w:lang w:val="zh-CN" w:eastAsia="zh-CN" w:bidi="ar-SA"/>
        </w:rPr>
        <w:t>一是巡察手段方式单一。</w:t>
      </w:r>
      <w:r>
        <w:rPr>
          <w:rFonts w:hint="eastAsia" w:ascii="仿宋_GB2312" w:hAnsi="??" w:eastAsia="仿宋_GB2312" w:cs="Times New Roman"/>
          <w:color w:val="000000"/>
          <w:kern w:val="0"/>
          <w:sz w:val="32"/>
          <w:szCs w:val="32"/>
          <w:lang w:val="zh-CN" w:eastAsia="zh-CN" w:bidi="ar-SA"/>
        </w:rPr>
        <w:t>巡察组主要采取召开座谈会、个别谈话、列席会议、查阅资料、受理举报等较为“固定”的方式进行巡察，有一定的局限性，发现问题的能力也比较弱。</w:t>
      </w:r>
      <w:r>
        <w:rPr>
          <w:rFonts w:hint="eastAsia" w:ascii="仿宋_GB2312" w:hAnsi="??" w:eastAsia="仿宋_GB2312" w:cs="Times New Roman"/>
          <w:bCs/>
          <w:color w:val="000000"/>
          <w:kern w:val="0"/>
          <w:sz w:val="32"/>
          <w:szCs w:val="32"/>
          <w:lang w:val="zh-CN" w:eastAsia="zh-CN" w:bidi="ar-SA"/>
        </w:rPr>
        <w:t>二是发现问题不够全面深入。</w:t>
      </w:r>
      <w:r>
        <w:rPr>
          <w:rFonts w:hint="eastAsia" w:ascii="仿宋_GB2312" w:hAnsi="??" w:eastAsia="仿宋_GB2312" w:cs="Times New Roman"/>
          <w:color w:val="000000"/>
          <w:kern w:val="0"/>
          <w:sz w:val="32"/>
          <w:szCs w:val="32"/>
          <w:lang w:val="zh-CN" w:eastAsia="zh-CN" w:bidi="ar-SA"/>
        </w:rPr>
        <w:t>巡察组工作时间紧、工作任务重，临时性的一些紧急巡察任务打乱了原本的巡察计划，有时略显“措手不及”。</w:t>
      </w:r>
    </w:p>
    <w:p>
      <w:pPr>
        <w:keepNext w:val="0"/>
        <w:keepLines w:val="0"/>
        <w:pageBreakBefore w:val="0"/>
        <w:widowControl w:val="0"/>
        <w:numPr>
          <w:ilvl w:val="0"/>
          <w:numId w:val="8"/>
        </w:numPr>
        <w:kinsoku/>
        <w:wordWrap/>
        <w:overflowPunct/>
        <w:autoSpaceDE/>
        <w:autoSpaceDN/>
        <w:bidi w:val="0"/>
        <w:adjustRightInd/>
        <w:snapToGrid/>
        <w:spacing w:line="520" w:lineRule="exact"/>
        <w:ind w:left="0" w:leftChars="0" w:firstLine="640" w:firstLineChars="200"/>
        <w:jc w:val="both"/>
        <w:textAlignment w:val="auto"/>
        <w:rPr>
          <w:rFonts w:ascii="Times New Roman Regular" w:hAnsi="Times New Roman Regular" w:eastAsia="黑体" w:cs="Times New Roman Regular"/>
          <w:color w:val="auto"/>
          <w:kern w:val="2"/>
          <w:sz w:val="32"/>
          <w:szCs w:val="32"/>
          <w:lang w:val="en-US" w:eastAsia="zh-CN" w:bidi="ar-SA"/>
        </w:rPr>
      </w:pPr>
      <w:r>
        <w:rPr>
          <w:rFonts w:ascii="Times New Roman Regular" w:hAnsi="Times New Roman Regular" w:eastAsia="黑体" w:cs="Times New Roman Regular"/>
          <w:color w:val="auto"/>
          <w:kern w:val="2"/>
          <w:sz w:val="32"/>
          <w:szCs w:val="32"/>
          <w:lang w:val="en-US" w:eastAsia="zh-CN" w:bidi="ar-SA"/>
        </w:rPr>
        <w:t>相关措施建议</w:t>
      </w:r>
    </w:p>
    <w:p>
      <w:pPr>
        <w:keepNext w:val="0"/>
        <w:keepLines w:val="0"/>
        <w:pageBreakBefore w:val="0"/>
        <w:widowControl w:val="0"/>
        <w:kinsoku/>
        <w:wordWrap/>
        <w:overflowPunct/>
        <w:topLinePunct/>
        <w:autoSpaceDE/>
        <w:autoSpaceDN/>
        <w:bidi w:val="0"/>
        <w:adjustRightInd/>
        <w:snapToGrid/>
        <w:spacing w:after="0" w:line="520" w:lineRule="exact"/>
        <w:ind w:firstLine="640" w:firstLineChars="200"/>
        <w:jc w:val="both"/>
        <w:textAlignment w:val="auto"/>
        <w:rPr>
          <w:rFonts w:hint="eastAsia" w:ascii="Times New Roman" w:hAnsi="Times New Roman" w:eastAsia="仿宋_GB2312" w:cs="Times New Roman"/>
          <w:sz w:val="32"/>
          <w:szCs w:val="32"/>
        </w:rPr>
      </w:pPr>
      <w:r>
        <w:rPr>
          <w:rFonts w:hint="eastAsia" w:ascii="仿宋_GB2312" w:hAnsi="宋体" w:eastAsia="仿宋_GB2312" w:cs="Times New Roman"/>
          <w:sz w:val="32"/>
          <w:szCs w:val="32"/>
          <w:lang w:val="zh-CN"/>
        </w:rPr>
        <w:t>针对项目自评中发现的问题，提出下一步改进完善的意见及有关政策性建议：</w:t>
      </w:r>
      <w:r>
        <w:rPr>
          <w:rFonts w:hint="eastAsia" w:ascii="Times New Roman" w:hAnsi="Times New Roman" w:eastAsia="仿宋_GB2312" w:cs="Times New Roman"/>
          <w:sz w:val="32"/>
          <w:szCs w:val="32"/>
        </w:rPr>
        <w:t>在下一步的工作中，将认真贯彻落实中央、省委和市委关于巡视巡察工作决策部署，聚焦“两个维护”根本任务，把“严”的主基调长期坚持下去，有力发挥巡察利剑作用。</w:t>
      </w:r>
    </w:p>
    <w:p>
      <w:pPr>
        <w:widowControl w:val="0"/>
        <w:jc w:val="both"/>
        <w:rPr>
          <w:rFonts w:ascii="Times New Roman" w:hAnsi="Times New Roman" w:eastAsia="宋体" w:cs="Times New Roman"/>
          <w:kern w:val="2"/>
          <w:sz w:val="21"/>
          <w:szCs w:val="21"/>
          <w:lang w:val="en-US" w:eastAsia="zh-CN" w:bidi="ar-SA"/>
        </w:rPr>
      </w:pPr>
    </w:p>
    <w:p>
      <w:pPr>
        <w:pStyle w:val="39"/>
        <w:spacing w:line="578" w:lineRule="exact"/>
        <w:jc w:val="center"/>
        <w:rPr>
          <w:rFonts w:hint="eastAsia" w:ascii="Times New Roman Regular" w:hAnsi="Times New Roman Regular" w:eastAsia="方正小标宋简体" w:cs="Times New Roman Regular"/>
          <w:color w:val="auto"/>
          <w:kern w:val="2"/>
          <w:sz w:val="40"/>
          <w:szCs w:val="40"/>
          <w:lang w:val="en-US" w:eastAsia="zh-CN"/>
        </w:rPr>
      </w:pPr>
      <w:r>
        <w:rPr>
          <w:rFonts w:hint="eastAsia" w:ascii="Times New Roman Regular" w:hAnsi="Times New Roman Regular" w:eastAsia="方正小标宋简体" w:cs="Times New Roman Regular"/>
          <w:color w:val="auto"/>
          <w:kern w:val="2"/>
          <w:sz w:val="40"/>
          <w:szCs w:val="40"/>
          <w:lang w:val="en-US" w:eastAsia="zh-CN"/>
        </w:rPr>
        <w:t>中共宝兴县纪委办公室关于</w:t>
      </w:r>
    </w:p>
    <w:p>
      <w:pPr>
        <w:pStyle w:val="39"/>
        <w:spacing w:line="578" w:lineRule="exact"/>
        <w:jc w:val="center"/>
        <w:rPr>
          <w:rFonts w:ascii="Times New Roman Regular" w:hAnsi="Times New Roman Regular" w:eastAsia="方正小标宋简体" w:cs="Times New Roman Regular"/>
          <w:color w:val="auto"/>
          <w:kern w:val="2"/>
          <w:sz w:val="40"/>
          <w:szCs w:val="40"/>
          <w:lang w:val="en-US"/>
        </w:rPr>
      </w:pPr>
      <w:r>
        <w:rPr>
          <w:rFonts w:ascii="Times New Roman Bold" w:hAnsi="Times New Roman Bold" w:eastAsia="方正小标宋简体" w:cs="Times New Roman Bold"/>
          <w:b/>
          <w:bCs/>
          <w:color w:val="auto"/>
          <w:kern w:val="2"/>
          <w:sz w:val="40"/>
          <w:szCs w:val="40"/>
          <w:lang w:val="en-US"/>
        </w:rPr>
        <w:t>2023</w:t>
      </w:r>
      <w:r>
        <w:rPr>
          <w:rFonts w:ascii="Times New Roman Regular" w:hAnsi="Times New Roman Regular" w:eastAsia="方正小标宋简体" w:cs="Times New Roman Regular"/>
          <w:color w:val="auto"/>
          <w:kern w:val="2"/>
          <w:sz w:val="40"/>
          <w:szCs w:val="40"/>
          <w:lang w:val="en-US"/>
        </w:rPr>
        <w:t>年度</w:t>
      </w:r>
      <w:r>
        <w:rPr>
          <w:rFonts w:hint="eastAsia" w:ascii="Times New Roman Regular" w:hAnsi="Times New Roman Regular" w:eastAsia="方正小标宋简体" w:cs="Times New Roman Regular"/>
          <w:color w:val="auto"/>
          <w:kern w:val="2"/>
          <w:sz w:val="40"/>
          <w:szCs w:val="40"/>
          <w:lang w:val="en-US" w:eastAsia="zh-CN"/>
        </w:rPr>
        <w:t>“</w:t>
      </w:r>
      <w:r>
        <w:rPr>
          <w:rFonts w:hint="eastAsia" w:ascii="Times New Roman Regular" w:hAnsi="Times New Roman Regular" w:eastAsia="方正小标宋简体" w:cs="Times New Roman Regular"/>
          <w:color w:val="auto"/>
          <w:kern w:val="2"/>
          <w:sz w:val="40"/>
          <w:szCs w:val="40"/>
          <w:lang w:val="en-US"/>
        </w:rPr>
        <w:t>四川省廉洁文化基地VR展厅</w:t>
      </w:r>
      <w:r>
        <w:rPr>
          <w:rFonts w:hint="eastAsia" w:ascii="Times New Roman Regular" w:hAnsi="Times New Roman Regular" w:eastAsia="方正小标宋简体" w:cs="Times New Roman Regular"/>
          <w:color w:val="auto"/>
          <w:kern w:val="2"/>
          <w:sz w:val="40"/>
          <w:szCs w:val="40"/>
          <w:lang w:val="en-US" w:eastAsia="zh-CN"/>
        </w:rPr>
        <w:t>”</w:t>
      </w:r>
      <w:r>
        <w:rPr>
          <w:rFonts w:hint="eastAsia" w:ascii="Times New Roman Regular" w:hAnsi="Times New Roman Regular" w:eastAsia="方正小标宋简体" w:cs="Times New Roman Regular"/>
          <w:color w:val="auto"/>
          <w:kern w:val="2"/>
          <w:sz w:val="40"/>
          <w:szCs w:val="40"/>
          <w:lang w:val="en-US"/>
        </w:rPr>
        <w:t>专</w:t>
      </w:r>
      <w:r>
        <w:rPr>
          <w:rFonts w:ascii="Times New Roman Regular" w:hAnsi="Times New Roman Regular" w:eastAsia="方正小标宋简体" w:cs="Times New Roman Regular"/>
          <w:color w:val="auto"/>
          <w:kern w:val="2"/>
          <w:sz w:val="40"/>
          <w:szCs w:val="40"/>
          <w:lang w:val="en-US"/>
        </w:rPr>
        <w:t>项资金预算项目绩效自评报告</w:t>
      </w:r>
    </w:p>
    <w:p>
      <w:pPr>
        <w:pStyle w:val="39"/>
        <w:spacing w:line="578" w:lineRule="exact"/>
        <w:ind w:firstLine="640"/>
        <w:jc w:val="center"/>
        <w:rPr>
          <w:rFonts w:ascii="Times New Roman Regular" w:hAnsi="Times New Roman Regular" w:eastAsia="方正小标宋简体" w:cs="Times New Roman Regular"/>
          <w:color w:val="auto"/>
          <w:kern w:val="2"/>
          <w:sz w:val="40"/>
          <w:szCs w:val="40"/>
          <w:lang w:val="en-US"/>
        </w:rPr>
      </w:pPr>
    </w:p>
    <w:p>
      <w:pPr>
        <w:pStyle w:val="39"/>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一、项目基本情况</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（一）项目</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政策</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目标、年度绩效目标</w:t>
      </w:r>
    </w:p>
    <w:p>
      <w:pPr>
        <w:spacing w:after="0" w:line="560" w:lineRule="exact"/>
        <w:ind w:firstLine="720"/>
        <w:jc w:val="both"/>
        <w:rPr>
          <w:rFonts w:hint="eastAsia" w:ascii="仿宋_GB2312" w:hAnsi="宋体" w:eastAsia="仿宋_GB2312" w:cs="Times New Roman"/>
          <w:sz w:val="32"/>
          <w:szCs w:val="32"/>
          <w:lang w:val="zh-CN"/>
        </w:rPr>
      </w:pPr>
      <w:r>
        <w:rPr>
          <w:rFonts w:hint="eastAsia" w:ascii="仿宋_GB2312" w:hAnsi="宋体" w:eastAsia="仿宋_GB2312"/>
          <w:sz w:val="32"/>
          <w:szCs w:val="32"/>
          <w:lang w:val="zh-CN"/>
        </w:rPr>
        <w:t>1．项目主要内容：</w:t>
      </w:r>
      <w:r>
        <w:rPr>
          <w:rFonts w:hint="eastAsia" w:ascii="仿宋_GB2312" w:hAnsi="宋体" w:eastAsia="仿宋_GB2312" w:cs="Times New Roman"/>
          <w:sz w:val="32"/>
          <w:szCs w:val="32"/>
          <w:lang w:val="zh-CN"/>
        </w:rPr>
        <w:t>根据《中共四川省纪委机关</w:t>
      </w:r>
      <w:r>
        <w:rPr>
          <w:rFonts w:hint="eastAsia" w:ascii="仿宋_GB2312" w:hAnsi="宋体" w:eastAsia="仿宋_GB2312" w:cs="Times New Roman"/>
          <w:sz w:val="32"/>
          <w:szCs w:val="32"/>
          <w:lang w:val="en-US" w:eastAsia="zh-CN"/>
        </w:rPr>
        <w:t xml:space="preserve"> 中共四川省委宣传部关于印发&lt;四川省第二届“510（我要廉）廉洁文化宣传月活动方案”&gt;的通知》（川纪综[2023]50号）文件要求，需</w:t>
      </w:r>
      <w:r>
        <w:rPr>
          <w:rFonts w:hint="eastAsia" w:ascii="仿宋_GB2312" w:hAnsi="宋体" w:eastAsia="仿宋_GB2312" w:cs="Times New Roman"/>
          <w:sz w:val="32"/>
          <w:szCs w:val="32"/>
          <w:lang w:val="zh-CN"/>
        </w:rPr>
        <w:t>将我县四川省廉洁文化基地红军长征翻越夹金山纪念馆打造建设成</w:t>
      </w:r>
      <w:r>
        <w:rPr>
          <w:rFonts w:hint="eastAsia" w:ascii="仿宋_GB2312" w:hAnsi="宋体" w:eastAsia="仿宋_GB2312" w:cs="Times New Roman"/>
          <w:sz w:val="32"/>
          <w:szCs w:val="32"/>
          <w:lang w:val="en-US" w:eastAsia="zh-CN"/>
        </w:rPr>
        <w:t>VR线上展厅</w:t>
      </w:r>
      <w:r>
        <w:rPr>
          <w:rFonts w:hint="eastAsia" w:ascii="仿宋_GB2312" w:hAnsi="宋体" w:eastAsia="仿宋_GB2312" w:cs="Times New Roman"/>
          <w:sz w:val="32"/>
          <w:szCs w:val="32"/>
          <w:lang w:val="zh-CN"/>
        </w:rPr>
        <w:t>。</w:t>
      </w:r>
    </w:p>
    <w:p>
      <w:pPr>
        <w:spacing w:after="0" w:line="560" w:lineRule="exact"/>
        <w:ind w:firstLine="720"/>
        <w:jc w:val="both"/>
        <w:rPr>
          <w:rFonts w:hint="eastAsia" w:ascii="仿宋_GB2312" w:hAnsi="宋体" w:eastAsia="仿宋_GB2312" w:cs="Times New Roman"/>
          <w:sz w:val="32"/>
          <w:szCs w:val="32"/>
          <w:lang w:val="zh-CN"/>
        </w:rPr>
      </w:pPr>
      <w:r>
        <w:rPr>
          <w:rFonts w:hint="eastAsia" w:ascii="仿宋_GB2312" w:hAnsi="宋体" w:eastAsia="仿宋_GB2312"/>
          <w:sz w:val="32"/>
          <w:szCs w:val="32"/>
          <w:lang w:val="zh-CN"/>
        </w:rPr>
        <w:t>2</w:t>
      </w:r>
      <w:r>
        <w:rPr>
          <w:rFonts w:hint="eastAsia" w:ascii="仿宋_GB2312" w:hAnsi="宋体"/>
          <w:sz w:val="32"/>
          <w:szCs w:val="32"/>
          <w:lang w:val="en-US" w:eastAsia="zh-CN"/>
        </w:rPr>
        <w:t>.</w:t>
      </w:r>
      <w:r>
        <w:rPr>
          <w:rFonts w:hint="eastAsia" w:ascii="仿宋_GB2312" w:hAnsi="宋体" w:eastAsia="仿宋_GB2312"/>
          <w:sz w:val="32"/>
          <w:szCs w:val="32"/>
          <w:lang w:val="zh-CN"/>
        </w:rPr>
        <w:t>项目应实现的</w:t>
      </w:r>
      <w:r>
        <w:rPr>
          <w:rFonts w:hint="eastAsia" w:ascii="仿宋_GB2312" w:hAnsi="宋体"/>
          <w:sz w:val="32"/>
          <w:szCs w:val="32"/>
          <w:lang w:val="zh-CN" w:eastAsia="zh-CN"/>
        </w:rPr>
        <w:t>年度</w:t>
      </w:r>
      <w:r>
        <w:rPr>
          <w:rFonts w:hint="eastAsia" w:ascii="仿宋_GB2312" w:hAnsi="宋体" w:eastAsia="仿宋_GB2312"/>
          <w:sz w:val="32"/>
          <w:szCs w:val="32"/>
          <w:lang w:val="zh-CN"/>
        </w:rPr>
        <w:t>绩效目标：</w:t>
      </w:r>
      <w:r>
        <w:rPr>
          <w:rFonts w:hint="eastAsia" w:ascii="仿宋_GB2312" w:hAnsi="宋体" w:eastAsia="仿宋_GB2312" w:cs="Times New Roman"/>
          <w:sz w:val="32"/>
          <w:szCs w:val="32"/>
          <w:lang w:val="zh-CN"/>
        </w:rPr>
        <w:t>将四川省廉洁文化基地红军长征翻越夹金山纪念馆打造建设成</w:t>
      </w:r>
      <w:r>
        <w:rPr>
          <w:rFonts w:hint="eastAsia" w:ascii="仿宋_GB2312" w:hAnsi="宋体" w:eastAsia="仿宋_GB2312" w:cs="Times New Roman"/>
          <w:sz w:val="32"/>
          <w:szCs w:val="32"/>
          <w:lang w:val="en-US" w:eastAsia="zh-CN"/>
        </w:rPr>
        <w:t>VR线上展厅，完善一键式便捷登录、线上参观廉洁文化基地、线上语音同步讲解、线上预约、线下参观等功能，</w:t>
      </w:r>
      <w:r>
        <w:rPr>
          <w:rFonts w:hint="default" w:ascii="仿宋_GB2312" w:hAnsi="宋体" w:eastAsia="仿宋_GB2312" w:cs="Times New Roman"/>
          <w:sz w:val="32"/>
          <w:szCs w:val="32"/>
          <w:lang w:val="en-US" w:eastAsia="zh-CN"/>
        </w:rPr>
        <w:t>创新开展廉洁教育</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切实筑牢廉政防线</w:t>
      </w:r>
      <w:r>
        <w:rPr>
          <w:rFonts w:hint="eastAsia" w:ascii="仿宋_GB2312" w:hAnsi="宋体" w:eastAsia="仿宋_GB2312" w:cs="Times New Roman"/>
          <w:sz w:val="32"/>
          <w:szCs w:val="32"/>
          <w:lang w:val="en-US" w:eastAsia="zh-CN"/>
        </w:rPr>
        <w:t>。</w:t>
      </w:r>
    </w:p>
    <w:p>
      <w:pPr>
        <w:pStyle w:val="39"/>
        <w:spacing w:line="560" w:lineRule="exact"/>
        <w:ind w:firstLine="320" w:firstLineChars="1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（二）资金管理办法制定情况、申报项目的条件、范围与支持方式</w:t>
      </w:r>
    </w:p>
    <w:p>
      <w:pPr>
        <w:pStyle w:val="39"/>
        <w:numPr>
          <w:ilvl w:val="0"/>
          <w:numId w:val="0"/>
        </w:numPr>
        <w:spacing w:line="560" w:lineRule="exact"/>
        <w:ind w:firstLine="640" w:firstLineChars="2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资金管理方面：制定了“三重一大”议事规则和实施细则，严格执行财务管理制度，账务处理及时，会计核算规范。项目资金根据单位职责和年度目标计划、工作重点、工作运行保障申报，通过财政一体化系统的预算管理模块进行年度资金预算申报，采取向财政预算科“两上两下”的申报批复程序进行项目资金申报及批复。</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（三）项目资金使用情况</w:t>
      </w:r>
    </w:p>
    <w:p>
      <w:pPr>
        <w:pStyle w:val="39"/>
        <w:numPr>
          <w:ilvl w:val="0"/>
          <w:numId w:val="0"/>
        </w:numPr>
        <w:spacing w:line="560" w:lineRule="exact"/>
        <w:ind w:firstLine="640" w:firstLineChars="2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该项目资金无年初预算，根据我单位实际使用资金情况向县政府打请示审批后按照相关流程预算调整，财政局下拨资金后支付资金6.3万元，无结转结余。</w:t>
      </w:r>
    </w:p>
    <w:p>
      <w:pPr>
        <w:pStyle w:val="39"/>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二、评价结论及绩效分析</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（一）评价结论</w:t>
      </w:r>
    </w:p>
    <w:p>
      <w:pPr>
        <w:pStyle w:val="39"/>
        <w:spacing w:line="560" w:lineRule="exact"/>
        <w:ind w:firstLine="640" w:firstLineChars="200"/>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“四川省廉洁文化基地VR展厅”</w:t>
      </w:r>
      <w:r>
        <w:rPr>
          <w:rFonts w:hint="eastAsia" w:ascii="Times New Roman Regular" w:hAnsi="Times New Roman Regular" w:eastAsia="仿宋_GB2312" w:cs="Times New Roman Regular"/>
          <w:color w:val="auto"/>
          <w:kern w:val="2"/>
          <w:sz w:val="32"/>
          <w:szCs w:val="32"/>
          <w:lang w:val="zh-CN" w:eastAsia="zh-CN"/>
        </w:rPr>
        <w:t>项目的绩效目标符合客观实际，项目预期产出、效果符合正常的业绩水平，项目预算的内容、额度、标准、计划经济合理。根据纪委职责和年度目标计划，运用科学合理的绩效指标、绩效标准和方法，将</w:t>
      </w:r>
      <w:r>
        <w:rPr>
          <w:rFonts w:hint="eastAsia" w:ascii="Times New Roman Regular" w:hAnsi="Times New Roman Regular" w:eastAsia="仿宋_GB2312" w:cs="Times New Roman Regular"/>
          <w:color w:val="auto"/>
          <w:kern w:val="2"/>
          <w:sz w:val="32"/>
          <w:szCs w:val="32"/>
          <w:lang w:val="en-US" w:eastAsia="zh-CN"/>
        </w:rPr>
        <w:t>“四川省廉洁文化基地VR展厅”</w:t>
      </w:r>
      <w:r>
        <w:rPr>
          <w:rFonts w:hint="eastAsia" w:ascii="Times New Roman Regular" w:hAnsi="Times New Roman Regular" w:eastAsia="仿宋_GB2312" w:cs="Times New Roman Regular"/>
          <w:color w:val="auto"/>
          <w:kern w:val="2"/>
          <w:sz w:val="32"/>
          <w:szCs w:val="32"/>
          <w:lang w:val="zh-CN" w:eastAsia="zh-CN"/>
        </w:rPr>
        <w:t>项目绩效导向贯穿于项目预算编制、执行、决算的全过程，对</w:t>
      </w:r>
      <w:r>
        <w:rPr>
          <w:rFonts w:hint="eastAsia" w:ascii="Times New Roman Regular" w:hAnsi="Times New Roman Regular" w:eastAsia="仿宋_GB2312" w:cs="Times New Roman Regular"/>
          <w:color w:val="auto"/>
          <w:kern w:val="2"/>
          <w:sz w:val="32"/>
          <w:szCs w:val="32"/>
          <w:lang w:val="en-US" w:eastAsia="zh-CN"/>
        </w:rPr>
        <w:t>“四川省廉洁文化基地VR展厅”</w:t>
      </w:r>
      <w:r>
        <w:rPr>
          <w:rFonts w:hint="eastAsia" w:ascii="Times New Roman Regular" w:hAnsi="Times New Roman Regular" w:eastAsia="仿宋_GB2312" w:cs="Times New Roman Regular"/>
          <w:color w:val="auto"/>
          <w:kern w:val="2"/>
          <w:sz w:val="32"/>
          <w:szCs w:val="32"/>
          <w:lang w:val="zh-CN" w:eastAsia="zh-CN"/>
        </w:rPr>
        <w:t>项目预算支出的经济性、效率性、效益性和公平性进行客观、公正的事前评估、过程监控及事后评价，并将评价结果反馈应用及公开。自评得分</w:t>
      </w:r>
      <w:r>
        <w:rPr>
          <w:rFonts w:hint="eastAsia" w:ascii="Times New Roman Regular" w:hAnsi="Times New Roman Regular" w:eastAsia="仿宋_GB2312" w:cs="Times New Roman Regular"/>
          <w:color w:val="auto"/>
          <w:kern w:val="2"/>
          <w:sz w:val="32"/>
          <w:szCs w:val="32"/>
          <w:lang w:val="en-US" w:eastAsia="zh-CN"/>
        </w:rPr>
        <w:t>100分。</w:t>
      </w:r>
    </w:p>
    <w:p>
      <w:pPr>
        <w:pStyle w:val="39"/>
        <w:numPr>
          <w:ilvl w:val="0"/>
          <w:numId w:val="9"/>
        </w:numPr>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绩效</w:t>
      </w:r>
      <w:r>
        <w:rPr>
          <w:rFonts w:ascii="Times New Roman Regular" w:hAnsi="Times New Roman Regular" w:eastAsia="楷体_GB2312" w:cs="Times New Roman Regular"/>
          <w:color w:val="auto"/>
          <w:kern w:val="2"/>
          <w:sz w:val="32"/>
          <w:szCs w:val="32"/>
          <w:lang w:val="en-US"/>
        </w:rPr>
        <w:t>分析</w:t>
      </w:r>
    </w:p>
    <w:p>
      <w:pPr>
        <w:pStyle w:val="39"/>
        <w:numPr>
          <w:ilvl w:val="0"/>
          <w:numId w:val="0"/>
        </w:numPr>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1</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项目决策指标分析</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“四川省廉洁文化基地VR展厅”项目设立程序严密</w:t>
      </w:r>
      <w:r>
        <w:rPr>
          <w:rFonts w:hint="eastAsia" w:ascii="Times New Roman Regular" w:hAnsi="Times New Roman Regular" w:eastAsia="仿宋_GB2312" w:cs="Times New Roman Regular"/>
          <w:color w:val="auto"/>
          <w:kern w:val="2"/>
          <w:sz w:val="32"/>
          <w:szCs w:val="32"/>
          <w:lang w:val="zh-CN" w:eastAsia="zh-CN"/>
        </w:rPr>
        <w:t>，预算规划合理，项目制度健全，经费保障目标清晰。</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2</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预算管理指标分析</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该</w:t>
      </w:r>
      <w:r>
        <w:rPr>
          <w:rFonts w:ascii="Times New Roman Regular" w:hAnsi="Times New Roman Regular" w:eastAsia="仿宋_GB2312" w:cs="Times New Roman Regular"/>
          <w:color w:val="auto"/>
          <w:kern w:val="2"/>
          <w:sz w:val="32"/>
          <w:szCs w:val="32"/>
          <w:lang w:val="en-US"/>
        </w:rPr>
        <w:t>项目资金</w:t>
      </w:r>
      <w:r>
        <w:rPr>
          <w:rFonts w:hint="eastAsia" w:ascii="Times New Roman Regular" w:hAnsi="Times New Roman Regular" w:eastAsia="仿宋_GB2312" w:cs="Times New Roman Regular"/>
          <w:color w:val="auto"/>
          <w:kern w:val="2"/>
          <w:sz w:val="32"/>
          <w:szCs w:val="32"/>
          <w:lang w:val="en-US" w:eastAsia="zh-CN"/>
        </w:rPr>
        <w:t>无年初</w:t>
      </w:r>
      <w:r>
        <w:rPr>
          <w:rFonts w:ascii="Times New Roman Regular" w:hAnsi="Times New Roman Regular" w:eastAsia="仿宋_GB2312" w:cs="Times New Roman Regular"/>
          <w:color w:val="auto"/>
          <w:kern w:val="2"/>
          <w:sz w:val="32"/>
          <w:szCs w:val="32"/>
          <w:lang w:val="en-US"/>
        </w:rPr>
        <w:t>预算</w:t>
      </w:r>
      <w:r>
        <w:rPr>
          <w:rFonts w:hint="eastAsia" w:ascii="Times New Roman Regular" w:hAnsi="Times New Roman Regular" w:eastAsia="仿宋_GB2312" w:cs="Times New Roman Regular"/>
          <w:color w:val="auto"/>
          <w:kern w:val="2"/>
          <w:sz w:val="32"/>
          <w:szCs w:val="32"/>
          <w:lang w:val="en-US" w:eastAsia="zh-CN"/>
        </w:rPr>
        <w:t>，根据我单位实际使用资金情况向县政府打请示审批后按照相关流程预算调整，财政局下拨资金后支付资金6.3万元</w:t>
      </w:r>
      <w:r>
        <w:rPr>
          <w:rFonts w:ascii="Times New Roman Regular" w:hAnsi="Times New Roman Regular" w:eastAsia="仿宋_GB2312" w:cs="Times New Roman Regular"/>
          <w:color w:val="auto"/>
          <w:kern w:val="2"/>
          <w:sz w:val="32"/>
          <w:szCs w:val="32"/>
          <w:lang w:val="en-US"/>
        </w:rPr>
        <w:t>。</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3</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项目实施指标分析</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“四川省廉洁文化基地VR展厅”项目管理规范，全部为县级财政资金，无其他配套资金。</w:t>
      </w:r>
    </w:p>
    <w:p>
      <w:pPr>
        <w:pStyle w:val="39"/>
        <w:numPr>
          <w:ilvl w:val="0"/>
          <w:numId w:val="0"/>
        </w:numPr>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4.</w:t>
      </w:r>
      <w:r>
        <w:rPr>
          <w:rFonts w:ascii="Times New Roman Regular" w:hAnsi="Times New Roman Regular" w:eastAsia="仿宋_GB2312" w:cs="Times New Roman Regular"/>
          <w:color w:val="auto"/>
          <w:kern w:val="2"/>
          <w:sz w:val="32"/>
          <w:szCs w:val="32"/>
          <w:lang w:val="en-US"/>
        </w:rPr>
        <w:t>产出指标分析</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2023年宝兴县纪委监委切实扛起管理四川省廉洁文化基地——红军翻越夹金山纪念馆的主体责任，联合纪念馆主管单位县文化和体育旅游局认真落实免费开放政策，开展各类项党性教育、革命传统教育、爱国主义教育主题活动。同步打造了红军长征翻越夹金山纪念馆VR线上展厅，完善了一键式便捷登录、线上参观廉洁文化基地、线上语音同步讲解、线上预约线下参观等功能。全年参观人数30余万人次，各类政务接待、讲解接待600余场，充分发挥了纪念馆的宣传、教育和展示职能。</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5</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效果指标分析</w:t>
      </w:r>
    </w:p>
    <w:p>
      <w:pPr>
        <w:pStyle w:val="39"/>
        <w:numPr>
          <w:ilvl w:val="0"/>
          <w:numId w:val="0"/>
        </w:numPr>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涵养新时代廉洁文化、涵育时代新风优良家风，</w:t>
      </w:r>
      <w:r>
        <w:rPr>
          <w:rFonts w:hint="default" w:ascii="Times New Roman" w:hAnsi="Times New Roman" w:eastAsia="仿宋_GB2312" w:cs="Times New Roman"/>
          <w:sz w:val="32"/>
          <w:szCs w:val="32"/>
          <w:u w:val="none"/>
          <w:lang w:val="en-US" w:eastAsia="zh-CN"/>
        </w:rPr>
        <w:t>不断厚植廉洁基因</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强化廉洁文化宣传教育，用新闻故事真实客观向大众展现正风肃纪反腐成果。</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6</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成本指标分析</w:t>
      </w:r>
    </w:p>
    <w:p>
      <w:pPr>
        <w:pStyle w:val="39"/>
        <w:spacing w:line="560" w:lineRule="exact"/>
        <w:ind w:firstLine="320" w:firstLineChars="100"/>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“四川省廉洁文化基地VR展厅”项目直接经济成本6.3万元，保障了四川省第二届“510（我要廉）”廉洁文化宣传月工作的有序开展</w:t>
      </w:r>
      <w:r>
        <w:rPr>
          <w:rFonts w:ascii="Times New Roman Regular" w:hAnsi="Times New Roman Regular" w:eastAsia="仿宋_GB2312" w:cs="Times New Roman Regular"/>
          <w:color w:val="auto"/>
          <w:kern w:val="2"/>
          <w:sz w:val="32"/>
          <w:szCs w:val="32"/>
          <w:lang w:val="en-US"/>
        </w:rPr>
        <w:t>。</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7</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满意度指标分析</w:t>
      </w:r>
    </w:p>
    <w:p>
      <w:pPr>
        <w:pStyle w:val="39"/>
        <w:spacing w:line="56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创新开展廉洁教育</w:t>
      </w:r>
      <w:r>
        <w:rPr>
          <w:rFonts w:hint="eastAsia" w:ascii="Times New Roman" w:hAnsi="Times New Roman" w:eastAsia="仿宋_GB2312" w:cs="Times New Roman"/>
          <w:color w:val="000000"/>
          <w:sz w:val="32"/>
          <w:szCs w:val="32"/>
          <w:u w:val="none"/>
          <w:lang w:val="en-US" w:eastAsia="zh-CN"/>
        </w:rPr>
        <w:t>，</w:t>
      </w:r>
      <w:r>
        <w:rPr>
          <w:rFonts w:hint="eastAsia" w:ascii="Times New Roman Regular" w:hAnsi="Times New Roman Regular" w:eastAsia="仿宋_GB2312" w:cs="Times New Roman Regular"/>
          <w:color w:val="auto"/>
          <w:kern w:val="2"/>
          <w:sz w:val="32"/>
          <w:szCs w:val="32"/>
          <w:lang w:val="en-US" w:eastAsia="zh-CN"/>
        </w:rPr>
        <w:t>服务对象满意率100%。</w:t>
      </w:r>
    </w:p>
    <w:p>
      <w:pPr>
        <w:pStyle w:val="39"/>
        <w:numPr>
          <w:ilvl w:val="0"/>
          <w:numId w:val="10"/>
        </w:numPr>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存在主要问题</w:t>
      </w:r>
    </w:p>
    <w:p>
      <w:pPr>
        <w:pStyle w:val="39"/>
        <w:numPr>
          <w:ilvl w:val="0"/>
          <w:numId w:val="0"/>
        </w:numPr>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bidi="ar-SA"/>
        </w:rPr>
        <w:t>绩效管理质量有待进一步提高。</w:t>
      </w:r>
    </w:p>
    <w:p>
      <w:pPr>
        <w:pStyle w:val="39"/>
        <w:numPr>
          <w:ilvl w:val="0"/>
          <w:numId w:val="10"/>
        </w:numPr>
        <w:spacing w:line="560" w:lineRule="exact"/>
        <w:ind w:left="0" w:leftChars="0"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相关措施建议</w:t>
      </w:r>
    </w:p>
    <w:p>
      <w:pPr>
        <w:pStyle w:val="39"/>
        <w:numPr>
          <w:ilvl w:val="0"/>
          <w:numId w:val="0"/>
        </w:numPr>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CN" w:bidi="ar-SA"/>
        </w:rPr>
        <w:t>改进在预算绩效理念、管理创新、评价结果应用等方面的短板和不足。</w:t>
      </w:r>
    </w:p>
    <w:p>
      <w:pPr>
        <w:pStyle w:val="39"/>
        <w:numPr>
          <w:ilvl w:val="0"/>
          <w:numId w:val="0"/>
        </w:numPr>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bidi="ar-SA"/>
        </w:rPr>
      </w:pPr>
    </w:p>
    <w:p>
      <w:pPr>
        <w:pStyle w:val="39"/>
        <w:spacing w:line="578" w:lineRule="exact"/>
        <w:jc w:val="center"/>
        <w:rPr>
          <w:rFonts w:hint="eastAsia" w:ascii="Times New Roman Regular" w:hAnsi="Times New Roman Regular" w:eastAsia="方正小标宋简体" w:cs="Times New Roman Regular"/>
          <w:color w:val="auto"/>
          <w:kern w:val="2"/>
          <w:sz w:val="40"/>
          <w:szCs w:val="40"/>
          <w:lang w:val="en-US" w:eastAsia="zh-CN"/>
        </w:rPr>
      </w:pPr>
      <w:r>
        <w:rPr>
          <w:rFonts w:hint="eastAsia" w:ascii="Times New Roman Regular" w:hAnsi="Times New Roman Regular" w:eastAsia="方正小标宋简体" w:cs="Times New Roman Regular"/>
          <w:color w:val="auto"/>
          <w:kern w:val="2"/>
          <w:sz w:val="40"/>
          <w:szCs w:val="40"/>
          <w:lang w:val="en-US" w:eastAsia="zh-CN"/>
        </w:rPr>
        <w:t>中共宝兴县纪委办公室关于</w:t>
      </w:r>
    </w:p>
    <w:p>
      <w:pPr>
        <w:pStyle w:val="39"/>
        <w:spacing w:line="578" w:lineRule="exact"/>
        <w:jc w:val="center"/>
        <w:rPr>
          <w:rFonts w:hint="eastAsia" w:ascii="Times New Roman Regular" w:hAnsi="Times New Roman Regular" w:eastAsia="方正小标宋简体" w:cs="Times New Roman Regular"/>
          <w:color w:val="auto"/>
          <w:kern w:val="2"/>
          <w:sz w:val="40"/>
          <w:szCs w:val="40"/>
          <w:lang w:val="en-US" w:eastAsia="zh-CN"/>
        </w:rPr>
      </w:pPr>
      <w:r>
        <w:rPr>
          <w:rFonts w:ascii="Times New Roman Regular" w:hAnsi="Times New Roman Regular" w:eastAsia="方正小标宋简体" w:cs="Times New Roman Regular"/>
          <w:color w:val="auto"/>
          <w:kern w:val="2"/>
          <w:sz w:val="40"/>
          <w:szCs w:val="40"/>
          <w:lang w:val="en-US"/>
        </w:rPr>
        <w:t>2023年度</w:t>
      </w:r>
      <w:r>
        <w:rPr>
          <w:rFonts w:hint="eastAsia" w:ascii="Times New Roman Regular" w:hAnsi="Times New Roman Regular" w:eastAsia="方正小标宋简体" w:cs="Times New Roman Regular"/>
          <w:color w:val="auto"/>
          <w:kern w:val="2"/>
          <w:sz w:val="40"/>
          <w:szCs w:val="40"/>
          <w:lang w:val="en-US" w:eastAsia="zh-CN"/>
        </w:rPr>
        <w:t>“</w:t>
      </w:r>
      <w:r>
        <w:rPr>
          <w:rFonts w:hint="eastAsia" w:ascii="Times New Roman Regular" w:hAnsi="Times New Roman Regular" w:eastAsia="方正小标宋简体" w:cs="Times New Roman Regular"/>
          <w:color w:val="auto"/>
          <w:kern w:val="2"/>
          <w:sz w:val="40"/>
          <w:szCs w:val="40"/>
          <w:lang w:val="en-US"/>
        </w:rPr>
        <w:t>乡镇谈话室提升改造项目工程</w:t>
      </w:r>
      <w:r>
        <w:rPr>
          <w:rFonts w:hint="eastAsia" w:ascii="Times New Roman Regular" w:hAnsi="Times New Roman Regular" w:eastAsia="方正小标宋简体" w:cs="Times New Roman Regular"/>
          <w:color w:val="auto"/>
          <w:kern w:val="2"/>
          <w:sz w:val="40"/>
          <w:szCs w:val="40"/>
          <w:lang w:val="en-US" w:eastAsia="zh-CN"/>
        </w:rPr>
        <w:t>”</w:t>
      </w:r>
    </w:p>
    <w:p>
      <w:pPr>
        <w:pStyle w:val="39"/>
        <w:spacing w:line="578" w:lineRule="exact"/>
        <w:jc w:val="center"/>
        <w:rPr>
          <w:rFonts w:ascii="Times New Roman Regular" w:hAnsi="Times New Roman Regular" w:eastAsia="方正小标宋简体" w:cs="Times New Roman Regular"/>
          <w:color w:val="auto"/>
          <w:kern w:val="2"/>
          <w:sz w:val="40"/>
          <w:szCs w:val="40"/>
          <w:lang w:val="en-US"/>
        </w:rPr>
      </w:pPr>
      <w:r>
        <w:rPr>
          <w:rFonts w:hint="eastAsia" w:ascii="Times New Roman Regular" w:hAnsi="Times New Roman Regular" w:eastAsia="方正小标宋简体" w:cs="Times New Roman Regular"/>
          <w:color w:val="auto"/>
          <w:kern w:val="2"/>
          <w:sz w:val="40"/>
          <w:szCs w:val="40"/>
          <w:lang w:val="en-US"/>
        </w:rPr>
        <w:t>专</w:t>
      </w:r>
      <w:r>
        <w:rPr>
          <w:rFonts w:ascii="Times New Roman Regular" w:hAnsi="Times New Roman Regular" w:eastAsia="方正小标宋简体" w:cs="Times New Roman Regular"/>
          <w:color w:val="auto"/>
          <w:kern w:val="2"/>
          <w:sz w:val="40"/>
          <w:szCs w:val="40"/>
          <w:lang w:val="en-US"/>
        </w:rPr>
        <w:t>项资金预算项目绩效自评报告</w:t>
      </w:r>
    </w:p>
    <w:p>
      <w:pPr>
        <w:pStyle w:val="39"/>
        <w:spacing w:line="578" w:lineRule="exact"/>
        <w:ind w:firstLine="640"/>
        <w:jc w:val="center"/>
        <w:rPr>
          <w:rFonts w:ascii="Times New Roman Regular" w:hAnsi="Times New Roman Regular" w:eastAsia="方正小标宋简体" w:cs="Times New Roman Regular"/>
          <w:color w:val="auto"/>
          <w:kern w:val="2"/>
          <w:sz w:val="40"/>
          <w:szCs w:val="40"/>
          <w:lang w:val="en-US"/>
        </w:rPr>
      </w:pP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一、项目基本情况</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（一）项目</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政策</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目标、年度绩效目标</w:t>
      </w:r>
    </w:p>
    <w:p>
      <w:pPr>
        <w:pStyle w:val="39"/>
        <w:numPr>
          <w:ilvl w:val="0"/>
          <w:numId w:val="0"/>
        </w:numPr>
        <w:spacing w:line="560" w:lineRule="exact"/>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1．项目主要内容：根据</w:t>
      </w:r>
      <w:r>
        <w:rPr>
          <w:rFonts w:hint="eastAsia" w:ascii="仿宋_GB2312" w:hAnsi="宋体" w:eastAsia="仿宋_GB2312" w:cs="Times New Roman"/>
          <w:color w:val="auto"/>
          <w:kern w:val="2"/>
          <w:sz w:val="32"/>
          <w:szCs w:val="32"/>
          <w:lang w:val="en-US" w:eastAsia="zh-CN" w:bidi="ar-SA"/>
        </w:rPr>
        <w:t>中纪委《关于进一步做好“走读式”谈话安全工作的意见》(中纪办[2021]11号)、省纪委《关于提升纪检监察机关案件查办质效的工作方案》和市纪委《落实省纪委监委“三个方案”做实县乡基层党风廉政建设“上半篇文章”重要问题指导口径》关于推动完善乡镇谈话室标准化建设的要求，拟对灵关镇、硗碛乡谈话室进行提升改造</w:t>
      </w:r>
      <w:r>
        <w:rPr>
          <w:rFonts w:hint="eastAsia" w:ascii="仿宋_GB2312" w:hAnsi="宋体" w:eastAsia="仿宋_GB2312" w:cs="Times New Roman"/>
          <w:color w:val="auto"/>
          <w:kern w:val="2"/>
          <w:sz w:val="32"/>
          <w:szCs w:val="32"/>
          <w:lang w:val="zh-CN" w:eastAsia="zh-CN" w:bidi="ar-SA"/>
        </w:rPr>
        <w:t>。</w:t>
      </w:r>
    </w:p>
    <w:p>
      <w:pPr>
        <w:pStyle w:val="39"/>
        <w:numPr>
          <w:ilvl w:val="0"/>
          <w:numId w:val="0"/>
        </w:numPr>
        <w:spacing w:line="560" w:lineRule="exact"/>
        <w:ind w:firstLine="640" w:firstLineChars="200"/>
        <w:rPr>
          <w:rFonts w:hint="eastAsia"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2</w:t>
      </w:r>
      <w:r>
        <w:rPr>
          <w:rFonts w:hint="eastAsia" w:ascii="仿宋_GB2312" w:hAnsi="宋体" w:eastAsia="仿宋_GB2312" w:cs="Times New Roman"/>
          <w:color w:val="auto"/>
          <w:kern w:val="2"/>
          <w:sz w:val="32"/>
          <w:szCs w:val="32"/>
          <w:lang w:val="en-US" w:eastAsia="zh-CN" w:bidi="ar-SA"/>
        </w:rPr>
        <w:t>.</w:t>
      </w:r>
      <w:r>
        <w:rPr>
          <w:rFonts w:hint="eastAsia" w:ascii="仿宋_GB2312" w:hAnsi="宋体" w:eastAsia="仿宋_GB2312" w:cs="Times New Roman"/>
          <w:color w:val="auto"/>
          <w:kern w:val="2"/>
          <w:sz w:val="32"/>
          <w:szCs w:val="32"/>
          <w:lang w:val="zh-CN" w:eastAsia="zh-CN" w:bidi="ar-SA"/>
        </w:rPr>
        <w:t>项目应实现的年度绩效目标：对灵关镇、硗碛乡谈话室进行提升改造</w:t>
      </w:r>
      <w:r>
        <w:rPr>
          <w:rFonts w:hint="eastAsia" w:ascii="仿宋_GB2312" w:hAnsi="宋体" w:eastAsia="仿宋_GB2312" w:cs="Times New Roman"/>
          <w:color w:val="auto"/>
          <w:kern w:val="2"/>
          <w:sz w:val="32"/>
          <w:szCs w:val="32"/>
          <w:lang w:val="en-US" w:eastAsia="zh-CN" w:bidi="ar-SA"/>
        </w:rPr>
        <w:t>，</w:t>
      </w:r>
      <w:r>
        <w:rPr>
          <w:rFonts w:hint="eastAsia" w:ascii="仿宋_GB2312" w:hAnsi="宋体" w:eastAsia="仿宋_GB2312" w:cs="Times New Roman"/>
          <w:color w:val="auto"/>
          <w:kern w:val="2"/>
          <w:sz w:val="32"/>
          <w:szCs w:val="32"/>
          <w:lang w:val="zh-CN" w:eastAsia="zh-CN" w:bidi="ar-SA"/>
        </w:rPr>
        <w:t>使中心乡镇谈话室提档升级，提高办案安全质效</w:t>
      </w:r>
      <w:r>
        <w:rPr>
          <w:rFonts w:hint="eastAsia" w:ascii="仿宋_GB2312" w:hAnsi="宋体" w:eastAsia="仿宋_GB2312" w:cs="Times New Roman"/>
          <w:color w:val="auto"/>
          <w:kern w:val="2"/>
          <w:sz w:val="32"/>
          <w:szCs w:val="32"/>
          <w:lang w:val="en-US" w:eastAsia="zh-CN" w:bidi="ar-SA"/>
        </w:rPr>
        <w:t>。</w:t>
      </w:r>
    </w:p>
    <w:p>
      <w:pPr>
        <w:pStyle w:val="39"/>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（二）资金管理办法制定情况、申报项目的条件、范围与支持方式</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zh-CN" w:eastAsia="zh-CN"/>
        </w:rPr>
        <w:t>资金管理方面：制定了“三重一大”议事规则和实施细则，</w:t>
      </w:r>
      <w:r>
        <w:rPr>
          <w:rFonts w:hint="eastAsia" w:ascii="仿宋_GB2312" w:hAnsi="宋体" w:eastAsia="仿宋_GB2312" w:cs="Times New Roman"/>
          <w:color w:val="auto"/>
          <w:kern w:val="2"/>
          <w:sz w:val="32"/>
          <w:szCs w:val="32"/>
          <w:lang w:val="zh-CN" w:eastAsia="zh-CN" w:bidi="ar-SA"/>
        </w:rPr>
        <w:t>严格执行财务管理制度，账务处理及时，会计核算规范。</w:t>
      </w:r>
      <w:r>
        <w:rPr>
          <w:rFonts w:hint="eastAsia" w:ascii="Times New Roman Regular" w:hAnsi="Times New Roman Regular" w:eastAsia="仿宋_GB2312" w:cs="Times New Roman Regular"/>
          <w:color w:val="auto"/>
          <w:kern w:val="2"/>
          <w:sz w:val="32"/>
          <w:szCs w:val="32"/>
          <w:lang w:val="zh-CN" w:eastAsia="zh-CN"/>
        </w:rPr>
        <w:t>项目资金根据单位职责和年度目标计划、工作重点、工作运行保障申报，通过财政一体化系统的预算管理模块进行年度资金预算申报，采取向财政预算科“两上两下”的申报批复程序进行项目资金申报及批复。</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（三）项目资金使用情况</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该</w:t>
      </w:r>
      <w:r>
        <w:rPr>
          <w:rFonts w:ascii="Times New Roman Regular" w:hAnsi="Times New Roman Regular" w:eastAsia="仿宋_GB2312" w:cs="Times New Roman Regular"/>
          <w:color w:val="auto"/>
          <w:kern w:val="2"/>
          <w:sz w:val="32"/>
          <w:szCs w:val="32"/>
          <w:lang w:val="en-US"/>
        </w:rPr>
        <w:t>项目资金</w:t>
      </w:r>
      <w:r>
        <w:rPr>
          <w:rFonts w:hint="eastAsia" w:ascii="Times New Roman Regular" w:hAnsi="Times New Roman Regular" w:eastAsia="仿宋_GB2312" w:cs="Times New Roman Regular"/>
          <w:color w:val="auto"/>
          <w:kern w:val="2"/>
          <w:sz w:val="32"/>
          <w:szCs w:val="32"/>
          <w:lang w:val="zh-CN" w:eastAsia="zh-CN"/>
        </w:rPr>
        <w:t>全部为</w:t>
      </w:r>
      <w:r>
        <w:rPr>
          <w:rFonts w:hint="eastAsia" w:ascii="Times New Roman Regular" w:hAnsi="Times New Roman Regular" w:eastAsia="仿宋_GB2312" w:cs="Times New Roman Regular"/>
          <w:color w:val="auto"/>
          <w:kern w:val="2"/>
          <w:sz w:val="32"/>
          <w:szCs w:val="32"/>
          <w:lang w:val="en-US" w:eastAsia="zh-CN"/>
        </w:rPr>
        <w:t>2022年中央纪检监察转移支付资金结转至2023年度使用，资金保障14万元,2023年度使用完后无结转结余。</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二、评价结论及绩效分析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（一）评价结论</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楷体_GB2312" w:cs="Times New Roman Regular"/>
          <w:color w:val="auto"/>
          <w:kern w:val="2"/>
          <w:sz w:val="32"/>
          <w:szCs w:val="32"/>
          <w:lang w:val="en-US" w:eastAsia="zh-CN"/>
        </w:rPr>
        <w:t>“</w:t>
      </w:r>
      <w:r>
        <w:rPr>
          <w:rFonts w:hint="eastAsia" w:ascii="Times New Roman Regular" w:hAnsi="Times New Roman Regular" w:eastAsia="仿宋_GB2312" w:cs="Times New Roman Regular"/>
          <w:color w:val="auto"/>
          <w:kern w:val="2"/>
          <w:sz w:val="32"/>
          <w:szCs w:val="32"/>
          <w:lang w:val="en-US" w:eastAsia="zh-CN"/>
        </w:rPr>
        <w:t>乡镇谈话室提升改造工程”</w:t>
      </w:r>
      <w:r>
        <w:rPr>
          <w:rFonts w:hint="eastAsia" w:ascii="Times New Roman Regular" w:hAnsi="Times New Roman Regular" w:eastAsia="仿宋_GB2312" w:cs="Times New Roman Regular"/>
          <w:color w:val="auto"/>
          <w:kern w:val="2"/>
          <w:sz w:val="32"/>
          <w:szCs w:val="32"/>
          <w:lang w:val="zh-CN" w:eastAsia="zh-CN"/>
        </w:rPr>
        <w:t>项目的绩效目标符合客观实际，项目预期产出、效果符合正常的业绩水平，项目预算的内容、额度、标准、计划经济合理。根据纪委职责和年度目标计划，运用科学合理的绩效指标、绩效标准和方法，将</w:t>
      </w:r>
      <w:r>
        <w:rPr>
          <w:rFonts w:hint="eastAsia" w:ascii="Times New Roman Regular" w:hAnsi="Times New Roman Regular" w:eastAsia="仿宋_GB2312" w:cs="Times New Roman Regular"/>
          <w:color w:val="auto"/>
          <w:kern w:val="2"/>
          <w:sz w:val="32"/>
          <w:szCs w:val="32"/>
          <w:lang w:val="en-US" w:eastAsia="zh-CN"/>
        </w:rPr>
        <w:t>“乡镇谈话室提升改造工程”</w:t>
      </w:r>
      <w:r>
        <w:rPr>
          <w:rFonts w:hint="eastAsia" w:ascii="Times New Roman Regular" w:hAnsi="Times New Roman Regular" w:eastAsia="仿宋_GB2312" w:cs="Times New Roman Regular"/>
          <w:color w:val="auto"/>
          <w:kern w:val="2"/>
          <w:sz w:val="32"/>
          <w:szCs w:val="32"/>
          <w:lang w:val="zh-CN" w:eastAsia="zh-CN"/>
        </w:rPr>
        <w:t>项目绩效导向贯穿于项目预算编制、执行、决算的全过程，对</w:t>
      </w:r>
      <w:r>
        <w:rPr>
          <w:rFonts w:hint="eastAsia" w:ascii="Times New Roman Regular" w:hAnsi="Times New Roman Regular" w:eastAsia="仿宋_GB2312" w:cs="Times New Roman Regular"/>
          <w:color w:val="auto"/>
          <w:kern w:val="2"/>
          <w:sz w:val="32"/>
          <w:szCs w:val="32"/>
          <w:lang w:val="en-US" w:eastAsia="zh-CN"/>
        </w:rPr>
        <w:t>“乡镇谈话室提升改造工程”</w:t>
      </w:r>
      <w:r>
        <w:rPr>
          <w:rFonts w:hint="eastAsia" w:ascii="Times New Roman Regular" w:hAnsi="Times New Roman Regular" w:eastAsia="仿宋_GB2312" w:cs="Times New Roman Regular"/>
          <w:color w:val="auto"/>
          <w:kern w:val="2"/>
          <w:sz w:val="32"/>
          <w:szCs w:val="32"/>
          <w:lang w:val="zh-CN" w:eastAsia="zh-CN"/>
        </w:rPr>
        <w:t>项目预算支出的经济性、效率性、效益性和公平性进行客观、公正的事前评估、过程监控及事后评价，并将评价结果反馈应用及公开。自评得分</w:t>
      </w:r>
      <w:r>
        <w:rPr>
          <w:rFonts w:hint="eastAsia" w:ascii="Times New Roman Regular" w:hAnsi="Times New Roman Regular" w:eastAsia="仿宋_GB2312" w:cs="Times New Roman Regular"/>
          <w:color w:val="auto"/>
          <w:kern w:val="2"/>
          <w:sz w:val="32"/>
          <w:szCs w:val="32"/>
          <w:lang w:val="en-US" w:eastAsia="zh-CN"/>
        </w:rPr>
        <w:t>100分。</w:t>
      </w:r>
    </w:p>
    <w:p>
      <w:pPr>
        <w:pStyle w:val="39"/>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楷体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绩效</w:t>
      </w:r>
      <w:r>
        <w:rPr>
          <w:rFonts w:ascii="Times New Roman Regular" w:hAnsi="Times New Roman Regular" w:eastAsia="楷体_GB2312" w:cs="Times New Roman Regular"/>
          <w:color w:val="auto"/>
          <w:kern w:val="2"/>
          <w:sz w:val="32"/>
          <w:szCs w:val="32"/>
          <w:lang w:val="en-US"/>
        </w:rPr>
        <w:t>分析</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1</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项目决策指标分析</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“乡镇谈话室提升改造工程”项目设立程序严密</w:t>
      </w:r>
      <w:r>
        <w:rPr>
          <w:rFonts w:hint="eastAsia" w:ascii="Times New Roman Regular" w:hAnsi="Times New Roman Regular" w:eastAsia="仿宋_GB2312" w:cs="Times New Roman Regular"/>
          <w:color w:val="auto"/>
          <w:kern w:val="2"/>
          <w:sz w:val="32"/>
          <w:szCs w:val="32"/>
          <w:lang w:val="zh-CN" w:eastAsia="zh-CN"/>
        </w:rPr>
        <w:t>，预算规划合理，项目制度健全，经费保障目标清晰。</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2</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预算管理指标分析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该</w:t>
      </w:r>
      <w:r>
        <w:rPr>
          <w:rFonts w:ascii="Times New Roman Regular" w:hAnsi="Times New Roman Regular" w:eastAsia="仿宋_GB2312" w:cs="Times New Roman Regular"/>
          <w:color w:val="auto"/>
          <w:kern w:val="2"/>
          <w:sz w:val="32"/>
          <w:szCs w:val="32"/>
          <w:lang w:val="en-US"/>
        </w:rPr>
        <w:t>项目资金</w:t>
      </w:r>
      <w:r>
        <w:rPr>
          <w:rFonts w:hint="eastAsia" w:ascii="Times New Roman Regular" w:hAnsi="Times New Roman Regular" w:eastAsia="仿宋_GB2312" w:cs="Times New Roman Regular"/>
          <w:color w:val="auto"/>
          <w:kern w:val="2"/>
          <w:sz w:val="32"/>
          <w:szCs w:val="32"/>
          <w:lang w:val="en-US" w:eastAsia="zh-CN"/>
        </w:rPr>
        <w:t>为2022年中央纪检监察转移支付资金结转至2023年度使用，2023年项目资金根据工作开展进度实时审核支付，2023年度使用完后无结转结余。</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3</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项目实施指标分析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“乡镇谈话室提升改造工程”项目管理规范，全部为财政资金，无其他配套资金。</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4.</w:t>
      </w:r>
      <w:r>
        <w:rPr>
          <w:rFonts w:ascii="Times New Roman Regular" w:hAnsi="Times New Roman Regular" w:eastAsia="仿宋_GB2312" w:cs="Times New Roman Regular"/>
          <w:color w:val="auto"/>
          <w:kern w:val="2"/>
          <w:sz w:val="32"/>
          <w:szCs w:val="32"/>
          <w:lang w:val="en-US"/>
        </w:rPr>
        <w:t>产出指标分析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对</w:t>
      </w:r>
      <w:r>
        <w:rPr>
          <w:rFonts w:hint="eastAsia" w:ascii="Times New Roman Regular" w:hAnsi="Times New Roman Regular" w:eastAsia="仿宋_GB2312" w:cs="Times New Roman Regular"/>
          <w:color w:val="auto"/>
          <w:kern w:val="2"/>
          <w:sz w:val="32"/>
          <w:szCs w:val="32"/>
          <w:lang w:val="en-US"/>
        </w:rPr>
        <w:t>灵关镇、硗碛乡谈话室进行提升改造</w:t>
      </w:r>
      <w:r>
        <w:rPr>
          <w:rFonts w:hint="eastAsia" w:ascii="Times New Roman Regular" w:hAnsi="Times New Roman Regular" w:eastAsia="仿宋_GB2312" w:cs="Times New Roman Regular"/>
          <w:color w:val="auto"/>
          <w:kern w:val="2"/>
          <w:sz w:val="32"/>
          <w:szCs w:val="32"/>
          <w:lang w:val="en-US" w:eastAsia="zh-CN"/>
        </w:rPr>
        <w:t>，改善办案环境，推动基层党风廉政建设高质量发展，不断实现不敢腐、不能腐、不想腐一体推进战略目标，为全面建设社会主义现代化四川提供坚实的纪律保障。</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5</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效果指标分析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推动基层党风廉政建设高质量发展，进一步提升我县乡(镇)纪委谈话室的建设和使用管理，提高我县审查调查规范化水平，确保依纪依规安全审查调查</w:t>
      </w:r>
      <w:r>
        <w:rPr>
          <w:rFonts w:hint="default" w:ascii="Times New Roman Regular" w:hAnsi="Times New Roman Regular" w:eastAsia="仿宋_GB2312" w:cs="Times New Roman Regular"/>
          <w:color w:val="auto"/>
          <w:kern w:val="2"/>
          <w:sz w:val="32"/>
          <w:szCs w:val="32"/>
          <w:lang w:val="en-US" w:eastAsia="zh-CN"/>
        </w:rPr>
        <w:t>。</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6</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成本指标分析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“乡镇谈话室提升改造工程”项目直接经济成本14万元。</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7</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满意度指标分析</w:t>
      </w:r>
    </w:p>
    <w:p>
      <w:pPr>
        <w:pStyle w:val="3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eastAsia" w:ascii="Times New Roman Regular" w:hAnsi="Times New Roman Regular" w:eastAsia="仿宋_GB2312" w:cs="Times New Roman Regular"/>
          <w:color w:val="auto"/>
          <w:kern w:val="2"/>
          <w:sz w:val="32"/>
          <w:szCs w:val="32"/>
          <w:lang w:val="en-US" w:eastAsia="zh-CN"/>
        </w:rPr>
        <w:t>服务对象满意率100%。</w:t>
      </w:r>
    </w:p>
    <w:p>
      <w:pPr>
        <w:pStyle w:val="39"/>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存在主要问题</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ascii="Times New Roman Regular" w:hAnsi="Times New Roman Regular" w:eastAsia="黑体"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bidi="ar-SA"/>
        </w:rPr>
        <w:t>绩效管理质量有待进一步提高。</w:t>
      </w:r>
    </w:p>
    <w:p>
      <w:pPr>
        <w:pStyle w:val="39"/>
        <w:keepNext w:val="0"/>
        <w:keepLines w:val="0"/>
        <w:pageBreakBefore w:val="0"/>
        <w:widowControl w:val="0"/>
        <w:numPr>
          <w:ilvl w:val="0"/>
          <w:numId w:val="10"/>
        </w:numPr>
        <w:kinsoku/>
        <w:wordWrap/>
        <w:overflowPunct/>
        <w:topLinePunct w:val="0"/>
        <w:autoSpaceDE/>
        <w:autoSpaceDN/>
        <w:bidi w:val="0"/>
        <w:adjustRightInd/>
        <w:snapToGrid/>
        <w:spacing w:line="520" w:lineRule="exact"/>
        <w:ind w:left="0" w:leftChars="0" w:firstLine="640" w:firstLineChars="200"/>
        <w:textAlignment w:val="auto"/>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相关措施建议</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CN" w:bidi="ar-SA"/>
        </w:rPr>
        <w:t>改进在预算绩效理念、管理创新、评价结果应用等方面的短板和不足。</w:t>
      </w:r>
    </w:p>
    <w:p>
      <w:pPr>
        <w:pStyle w:val="39"/>
        <w:spacing w:line="578" w:lineRule="exact"/>
        <w:jc w:val="center"/>
        <w:rPr>
          <w:rFonts w:hint="eastAsia" w:ascii="Times New Roman Regular" w:hAnsi="Times New Roman Regular" w:eastAsia="方正小标宋简体" w:cs="Times New Roman Regular"/>
          <w:color w:val="auto"/>
          <w:kern w:val="2"/>
          <w:sz w:val="40"/>
          <w:szCs w:val="40"/>
          <w:lang w:val="en-US" w:eastAsia="zh-CN"/>
        </w:rPr>
      </w:pPr>
    </w:p>
    <w:p>
      <w:pPr>
        <w:pStyle w:val="39"/>
        <w:spacing w:line="578" w:lineRule="exact"/>
        <w:jc w:val="center"/>
        <w:rPr>
          <w:rFonts w:hint="eastAsia" w:ascii="Times New Roman Regular" w:hAnsi="Times New Roman Regular" w:eastAsia="方正小标宋简体" w:cs="Times New Roman Regular"/>
          <w:color w:val="auto"/>
          <w:kern w:val="2"/>
          <w:sz w:val="40"/>
          <w:szCs w:val="40"/>
          <w:lang w:val="en-US" w:eastAsia="zh-CN"/>
        </w:rPr>
      </w:pPr>
      <w:r>
        <w:rPr>
          <w:rFonts w:hint="eastAsia" w:ascii="Times New Roman Regular" w:hAnsi="Times New Roman Regular" w:eastAsia="方正小标宋简体" w:cs="Times New Roman Regular"/>
          <w:color w:val="auto"/>
          <w:kern w:val="2"/>
          <w:sz w:val="40"/>
          <w:szCs w:val="40"/>
          <w:lang w:val="en-US" w:eastAsia="zh-CN"/>
        </w:rPr>
        <w:t>中共宝兴县纪委办公室关于</w:t>
      </w:r>
    </w:p>
    <w:p>
      <w:pPr>
        <w:pStyle w:val="39"/>
        <w:spacing w:line="578" w:lineRule="exact"/>
        <w:jc w:val="center"/>
        <w:rPr>
          <w:rFonts w:ascii="Times New Roman Regular" w:hAnsi="Times New Roman Regular" w:eastAsia="方正小标宋简体" w:cs="Times New Roman Regular"/>
          <w:color w:val="auto"/>
          <w:kern w:val="2"/>
          <w:sz w:val="40"/>
          <w:szCs w:val="40"/>
          <w:lang w:val="en-US"/>
        </w:rPr>
      </w:pPr>
      <w:r>
        <w:rPr>
          <w:rFonts w:ascii="Times New Roman Bold" w:hAnsi="Times New Roman Bold" w:eastAsia="方正小标宋简体" w:cs="Times New Roman Bold"/>
          <w:b/>
          <w:bCs/>
          <w:color w:val="auto"/>
          <w:kern w:val="2"/>
          <w:sz w:val="40"/>
          <w:szCs w:val="40"/>
          <w:lang w:val="en-US"/>
        </w:rPr>
        <w:t>2023</w:t>
      </w:r>
      <w:r>
        <w:rPr>
          <w:rFonts w:ascii="Times New Roman Regular" w:hAnsi="Times New Roman Regular" w:eastAsia="方正小标宋简体" w:cs="Times New Roman Regular"/>
          <w:color w:val="auto"/>
          <w:kern w:val="2"/>
          <w:sz w:val="40"/>
          <w:szCs w:val="40"/>
          <w:lang w:val="en-US"/>
        </w:rPr>
        <w:t>年度</w:t>
      </w:r>
      <w:r>
        <w:rPr>
          <w:rFonts w:hint="eastAsia" w:ascii="Times New Roman Regular" w:hAnsi="Times New Roman Regular" w:eastAsia="方正小标宋简体" w:cs="Times New Roman Regular"/>
          <w:color w:val="auto"/>
          <w:kern w:val="2"/>
          <w:sz w:val="40"/>
          <w:szCs w:val="40"/>
          <w:lang w:val="en-US" w:eastAsia="zh-CN"/>
        </w:rPr>
        <w:t>“</w:t>
      </w:r>
      <w:r>
        <w:rPr>
          <w:rFonts w:hint="eastAsia" w:ascii="Times New Roman Regular" w:hAnsi="Times New Roman Regular" w:eastAsia="方正小标宋简体" w:cs="Times New Roman Regular"/>
          <w:color w:val="auto"/>
          <w:kern w:val="2"/>
          <w:sz w:val="40"/>
          <w:szCs w:val="40"/>
          <w:lang w:val="en-US"/>
        </w:rPr>
        <w:t>党风廉政建设社会评价工作</w:t>
      </w:r>
      <w:r>
        <w:rPr>
          <w:rFonts w:hint="eastAsia" w:ascii="Times New Roman Regular" w:hAnsi="Times New Roman Regular" w:eastAsia="方正小标宋简体" w:cs="Times New Roman Regular"/>
          <w:color w:val="auto"/>
          <w:kern w:val="2"/>
          <w:sz w:val="40"/>
          <w:szCs w:val="40"/>
          <w:lang w:val="en-US" w:eastAsia="zh-CN"/>
        </w:rPr>
        <w:t>”</w:t>
      </w:r>
      <w:r>
        <w:rPr>
          <w:rFonts w:ascii="Times New Roman Regular" w:hAnsi="Times New Roman Regular" w:eastAsia="方正小标宋简体" w:cs="Times New Roman Regular"/>
          <w:color w:val="auto"/>
          <w:kern w:val="2"/>
          <w:sz w:val="40"/>
          <w:szCs w:val="40"/>
          <w:lang w:val="en-US"/>
        </w:rPr>
        <w:t>专项资金预算项目绩效自评报告</w:t>
      </w:r>
    </w:p>
    <w:p>
      <w:pPr>
        <w:pStyle w:val="39"/>
        <w:spacing w:line="578" w:lineRule="exact"/>
        <w:ind w:firstLine="800" w:firstLineChars="200"/>
        <w:jc w:val="center"/>
        <w:rPr>
          <w:rFonts w:ascii="Times New Roman Regular" w:hAnsi="Times New Roman Regular" w:eastAsia="方正小标宋简体" w:cs="Times New Roman Regular"/>
          <w:color w:val="auto"/>
          <w:kern w:val="2"/>
          <w:sz w:val="40"/>
          <w:szCs w:val="40"/>
          <w:lang w:val="en-US"/>
        </w:rPr>
      </w:pPr>
    </w:p>
    <w:p>
      <w:pPr>
        <w:pStyle w:val="39"/>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一、项目基本情况</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（一）项目</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政策</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目标、年度绩效目标</w:t>
      </w:r>
    </w:p>
    <w:p>
      <w:pPr>
        <w:spacing w:after="0" w:line="560" w:lineRule="exact"/>
        <w:ind w:firstLine="720"/>
        <w:jc w:val="both"/>
        <w:rPr>
          <w:rFonts w:ascii="仿宋_GB2312" w:hAnsi="宋体" w:eastAsia="仿宋_GB2312"/>
          <w:sz w:val="32"/>
          <w:szCs w:val="32"/>
          <w:lang w:val="zh-CN"/>
        </w:rPr>
      </w:pPr>
      <w:r>
        <w:rPr>
          <w:rFonts w:hint="eastAsia" w:ascii="仿宋_GB2312" w:hAnsi="仿宋_GB2312" w:eastAsia="仿宋_GB2312" w:cs="仿宋_GB2312"/>
          <w:sz w:val="32"/>
          <w:szCs w:val="32"/>
        </w:rPr>
        <w:t>推动我县党风廉政社会评价工作高质量发展，开展党风廉政宣传、阵地建设、社会评价、县域政治生态评估工作</w:t>
      </w:r>
      <w:r>
        <w:rPr>
          <w:rFonts w:hint="eastAsia" w:ascii="仿宋_GB2312" w:hAnsi="仿宋_GB2312" w:eastAsia="仿宋_GB2312" w:cs="仿宋_GB2312"/>
          <w:sz w:val="32"/>
          <w:szCs w:val="32"/>
          <w:lang w:val="en-US" w:eastAsia="zh-CN"/>
        </w:rPr>
        <w:t>经费保障,</w:t>
      </w:r>
      <w:r>
        <w:rPr>
          <w:rFonts w:hint="eastAsia" w:ascii="仿宋_GB2312" w:hAnsi="仿宋_GB2312" w:cs="仿宋_GB2312"/>
          <w:sz w:val="32"/>
          <w:szCs w:val="32"/>
          <w:lang w:val="en-US" w:eastAsia="zh-CN"/>
        </w:rPr>
        <w:t>主要用于</w:t>
      </w:r>
      <w:r>
        <w:rPr>
          <w:rFonts w:hint="eastAsia" w:ascii="仿宋_GB2312" w:hAnsi="仿宋_GB2312" w:eastAsia="仿宋_GB2312" w:cs="仿宋_GB2312"/>
          <w:sz w:val="32"/>
          <w:szCs w:val="32"/>
        </w:rPr>
        <w:t>开展党风廉政宣传、阵地建设</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印制宣传资料、拍摄宣传片、开展警示教育等工作</w:t>
      </w:r>
      <w:r>
        <w:rPr>
          <w:rFonts w:hint="eastAsia" w:ascii="仿宋_GB2312" w:hAnsi="仿宋_GB2312" w:cs="仿宋_GB2312"/>
          <w:sz w:val="32"/>
          <w:szCs w:val="32"/>
          <w:lang w:val="en-US" w:eastAsia="zh-CN"/>
        </w:rPr>
        <w:t>经费支出</w:t>
      </w:r>
      <w:r>
        <w:rPr>
          <w:rFonts w:hint="eastAsia" w:ascii="仿宋_GB2312" w:hAnsi="仿宋_GB2312" w:eastAsia="仿宋_GB2312" w:cs="仿宋_GB2312"/>
          <w:sz w:val="32"/>
          <w:szCs w:val="32"/>
        </w:rPr>
        <w:t>。</w:t>
      </w:r>
    </w:p>
    <w:p>
      <w:pPr>
        <w:pStyle w:val="39"/>
        <w:numPr>
          <w:ilvl w:val="0"/>
          <w:numId w:val="11"/>
        </w:numPr>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资金管理办法制定情况、申报项目的条件、范围与支持方式</w:t>
      </w:r>
    </w:p>
    <w:p>
      <w:pPr>
        <w:pStyle w:val="39"/>
        <w:numPr>
          <w:ilvl w:val="0"/>
          <w:numId w:val="0"/>
        </w:numPr>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zh-CN" w:eastAsia="zh-CN"/>
        </w:rPr>
        <w:t>资金管理方面：制定了“三重一大”议事规则和实施细则，</w:t>
      </w:r>
      <w:r>
        <w:rPr>
          <w:rFonts w:hint="eastAsia" w:ascii="仿宋_GB2312" w:hAnsi="宋体" w:eastAsia="仿宋_GB2312" w:cs="Times New Roman"/>
          <w:color w:val="auto"/>
          <w:kern w:val="2"/>
          <w:sz w:val="32"/>
          <w:szCs w:val="32"/>
          <w:lang w:val="zh-CN" w:eastAsia="zh-CN" w:bidi="ar-SA"/>
        </w:rPr>
        <w:t>严格执行财务管理制度，账务处理及时，会计核算规范。</w:t>
      </w:r>
      <w:r>
        <w:rPr>
          <w:rFonts w:hint="eastAsia" w:ascii="Times New Roman Regular" w:hAnsi="Times New Roman Regular" w:eastAsia="仿宋_GB2312" w:cs="Times New Roman Regular"/>
          <w:color w:val="auto"/>
          <w:kern w:val="2"/>
          <w:sz w:val="32"/>
          <w:szCs w:val="32"/>
          <w:lang w:val="zh-CN" w:eastAsia="zh-CN"/>
        </w:rPr>
        <w:t>项目资金根据单位职责和年度目标计划、工作重点、工作运行保障申报，通过财政一体化系统的预算管理模块进行年度资金预算申报，采取向财政预算科“两上两下”的申报批复程序进行项目资金申报及批复。</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（三）项目资金使用情况</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1.</w:t>
      </w:r>
      <w:r>
        <w:rPr>
          <w:rFonts w:hint="eastAsia" w:ascii="Times New Roman Regular" w:hAnsi="Times New Roman Regular" w:eastAsia="仿宋_GB2312" w:cs="Times New Roman Regular"/>
          <w:color w:val="auto"/>
          <w:kern w:val="2"/>
          <w:sz w:val="32"/>
          <w:szCs w:val="32"/>
          <w:lang w:val="zh-CN" w:eastAsia="zh-CN"/>
        </w:rPr>
        <w:t>年度预算：全部为县级财政资金保障，</w:t>
      </w:r>
      <w:r>
        <w:rPr>
          <w:rFonts w:hint="eastAsia" w:ascii="Times New Roman Regular" w:hAnsi="Times New Roman Regular" w:eastAsia="仿宋_GB2312" w:cs="Times New Roman Regular"/>
          <w:color w:val="auto"/>
          <w:kern w:val="2"/>
          <w:sz w:val="32"/>
          <w:szCs w:val="32"/>
          <w:lang w:val="en-US" w:eastAsia="zh-CN"/>
        </w:rPr>
        <w:t>资金保障8.1万元。</w:t>
      </w:r>
    </w:p>
    <w:p>
      <w:pPr>
        <w:pStyle w:val="39"/>
        <w:numPr>
          <w:ilvl w:val="0"/>
          <w:numId w:val="0"/>
        </w:numPr>
        <w:spacing w:line="560" w:lineRule="exact"/>
        <w:ind w:firstLine="640" w:firstLineChars="200"/>
        <w:rPr>
          <w:rFonts w:hint="eastAsia" w:ascii="Times New Roman Regular" w:hAnsi="Times New Roman Regular" w:eastAsia="仿宋_GB2312" w:cs="Times New Roman Regular"/>
          <w:color w:val="auto"/>
          <w:kern w:val="2"/>
          <w:sz w:val="32"/>
          <w:szCs w:val="32"/>
          <w:lang w:val="zh-CN" w:eastAsia="zh-CN"/>
        </w:rPr>
      </w:pPr>
      <w:r>
        <w:rPr>
          <w:rFonts w:hint="eastAsia" w:ascii="Times New Roman Regular" w:hAnsi="Times New Roman Regular" w:eastAsia="仿宋_GB2312" w:cs="Times New Roman Regular"/>
          <w:color w:val="auto"/>
          <w:kern w:val="2"/>
          <w:sz w:val="32"/>
          <w:szCs w:val="32"/>
          <w:lang w:val="zh-CN" w:eastAsia="zh-CN"/>
        </w:rPr>
        <w:t>2．实际执行：截至评价时项目资金到位</w:t>
      </w:r>
      <w:r>
        <w:rPr>
          <w:rFonts w:hint="eastAsia" w:ascii="Times New Roman Regular" w:hAnsi="Times New Roman Regular" w:eastAsia="仿宋_GB2312" w:cs="Times New Roman Regular"/>
          <w:color w:val="auto"/>
          <w:kern w:val="2"/>
          <w:sz w:val="32"/>
          <w:szCs w:val="32"/>
          <w:lang w:val="en-US" w:eastAsia="zh-CN"/>
        </w:rPr>
        <w:t>8.1万元，使用6.25万元，结余资金1.85万元，县财政收回1.85万元</w:t>
      </w:r>
      <w:r>
        <w:rPr>
          <w:rFonts w:hint="eastAsia" w:ascii="Times New Roman Regular" w:hAnsi="Times New Roman Regular" w:eastAsia="仿宋_GB2312" w:cs="Times New Roman Regular"/>
          <w:color w:val="auto"/>
          <w:kern w:val="2"/>
          <w:sz w:val="32"/>
          <w:szCs w:val="32"/>
          <w:lang w:val="zh-CN" w:eastAsia="zh-CN"/>
        </w:rPr>
        <w:t>。全部为县财政资金，无单位自筹资金及其他渠道资金。支出标准及支付进度相符，支付依据合规合法，资金支付与预算相符。</w:t>
      </w:r>
    </w:p>
    <w:p>
      <w:pPr>
        <w:pStyle w:val="39"/>
        <w:spacing w:line="560" w:lineRule="exact"/>
        <w:ind w:left="1380" w:leftChars="200" w:hanging="960" w:hangingChars="300"/>
        <w:rPr>
          <w:rFonts w:hint="eastAsia" w:ascii="Times New Roman Regular" w:hAnsi="Times New Roman Regular" w:eastAsia="仿宋_GB2312" w:cs="Times New Roman Regular"/>
          <w:color w:val="auto"/>
          <w:kern w:val="2"/>
          <w:sz w:val="32"/>
          <w:szCs w:val="32"/>
          <w:lang w:val="zh-CN" w:eastAsia="zh-CN"/>
        </w:rPr>
      </w:pPr>
      <w:r>
        <w:rPr>
          <w:rFonts w:hint="eastAsia" w:ascii="Times New Roman Regular" w:hAnsi="Times New Roman Regular" w:eastAsia="仿宋_GB2312" w:cs="Times New Roman Regular"/>
          <w:color w:val="auto"/>
          <w:kern w:val="2"/>
          <w:sz w:val="32"/>
          <w:szCs w:val="32"/>
          <w:lang w:val="en-US" w:eastAsia="zh-CN"/>
        </w:rPr>
        <w:t>3.实际</w:t>
      </w:r>
      <w:r>
        <w:rPr>
          <w:rFonts w:hint="eastAsia" w:ascii="Times New Roman Regular" w:hAnsi="Times New Roman Regular" w:eastAsia="仿宋_GB2312" w:cs="Times New Roman Regular"/>
          <w:color w:val="auto"/>
          <w:kern w:val="2"/>
          <w:sz w:val="32"/>
          <w:szCs w:val="32"/>
          <w:lang w:val="zh-CN" w:eastAsia="zh-CN"/>
        </w:rPr>
        <w:t>执行率</w:t>
      </w:r>
      <w:r>
        <w:rPr>
          <w:rFonts w:hint="eastAsia" w:ascii="Times New Roman Regular" w:hAnsi="Times New Roman Regular" w:eastAsia="仿宋_GB2312" w:cs="Times New Roman Regular"/>
          <w:color w:val="auto"/>
          <w:kern w:val="2"/>
          <w:sz w:val="32"/>
          <w:szCs w:val="32"/>
          <w:lang w:val="en-US" w:eastAsia="zh-CN"/>
        </w:rPr>
        <w:t>100%</w:t>
      </w:r>
      <w:r>
        <w:rPr>
          <w:rFonts w:hint="eastAsia" w:ascii="Times New Roman Regular" w:hAnsi="Times New Roman Regular" w:eastAsia="仿宋_GB2312" w:cs="Times New Roman Regular"/>
          <w:color w:val="auto"/>
          <w:kern w:val="2"/>
          <w:sz w:val="32"/>
          <w:szCs w:val="32"/>
          <w:lang w:val="zh-CN" w:eastAsia="zh-CN"/>
        </w:rPr>
        <w:t>，</w:t>
      </w:r>
      <w:r>
        <w:rPr>
          <w:rFonts w:hint="eastAsia" w:ascii="Times New Roman Regular" w:hAnsi="Times New Roman Regular" w:eastAsia="仿宋_GB2312" w:cs="Times New Roman Regular"/>
          <w:color w:val="auto"/>
          <w:kern w:val="2"/>
          <w:sz w:val="32"/>
          <w:szCs w:val="32"/>
          <w:lang w:val="en-US" w:eastAsia="zh-CN"/>
        </w:rPr>
        <w:t>收回1.85万元，</w:t>
      </w:r>
      <w:r>
        <w:rPr>
          <w:rFonts w:hint="eastAsia" w:ascii="Times New Roman Regular" w:hAnsi="Times New Roman Regular" w:eastAsia="仿宋_GB2312" w:cs="Times New Roman Regular"/>
          <w:color w:val="auto"/>
          <w:kern w:val="2"/>
          <w:sz w:val="32"/>
          <w:szCs w:val="32"/>
          <w:lang w:val="zh-CN" w:eastAsia="zh-CN"/>
        </w:rPr>
        <w:t>无结转结余。</w:t>
      </w:r>
    </w:p>
    <w:p>
      <w:pPr>
        <w:pStyle w:val="39"/>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二、评价结论及绩效分析</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（一）评价结论</w:t>
      </w:r>
    </w:p>
    <w:p>
      <w:pPr>
        <w:pStyle w:val="39"/>
        <w:spacing w:line="560" w:lineRule="exact"/>
        <w:ind w:firstLine="640" w:firstLineChars="200"/>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zh-CN" w:eastAsia="zh-CN"/>
        </w:rPr>
        <w:t>截至当前，</w:t>
      </w:r>
      <w:r>
        <w:rPr>
          <w:rFonts w:hint="eastAsia" w:ascii="Times New Roman Regular" w:hAnsi="Times New Roman Regular" w:eastAsia="仿宋_GB2312" w:cs="Times New Roman Regular"/>
          <w:color w:val="auto"/>
          <w:kern w:val="2"/>
          <w:sz w:val="32"/>
          <w:szCs w:val="32"/>
          <w:lang w:val="en-US" w:eastAsia="zh-CN"/>
        </w:rPr>
        <w:t>“党风廉政建设社会评价工作”</w:t>
      </w:r>
      <w:r>
        <w:rPr>
          <w:rFonts w:hint="eastAsia" w:ascii="Times New Roman Regular" w:hAnsi="Times New Roman Regular" w:eastAsia="仿宋_GB2312" w:cs="Times New Roman Regular"/>
          <w:color w:val="auto"/>
          <w:kern w:val="2"/>
          <w:sz w:val="32"/>
          <w:szCs w:val="32"/>
          <w:lang w:val="zh-CN" w:eastAsia="zh-CN"/>
        </w:rPr>
        <w:t>项目的绩效目标符合客观实际，项目预期产出、效果符合正常的业绩水平，项目预算的内容、额度、标准、计划经济合理。根据</w:t>
      </w:r>
      <w:r>
        <w:rPr>
          <w:rFonts w:hint="eastAsia" w:ascii="Times New Roman Regular" w:hAnsi="Times New Roman Regular" w:eastAsia="仿宋_GB2312" w:cs="Times New Roman Regular"/>
          <w:color w:val="auto"/>
          <w:kern w:val="2"/>
          <w:sz w:val="32"/>
          <w:szCs w:val="32"/>
          <w:lang w:val="en-US" w:eastAsia="zh-CN"/>
        </w:rPr>
        <w:t>委机关</w:t>
      </w:r>
      <w:r>
        <w:rPr>
          <w:rFonts w:hint="eastAsia" w:ascii="Times New Roman Regular" w:hAnsi="Times New Roman Regular" w:eastAsia="仿宋_GB2312" w:cs="Times New Roman Regular"/>
          <w:color w:val="auto"/>
          <w:kern w:val="2"/>
          <w:sz w:val="32"/>
          <w:szCs w:val="32"/>
          <w:lang w:val="zh-CN" w:eastAsia="zh-CN"/>
        </w:rPr>
        <w:t>职责和年度目标计划，运用科学合理的绩效指标、绩效标准和方法，将</w:t>
      </w:r>
      <w:r>
        <w:rPr>
          <w:rFonts w:hint="eastAsia" w:ascii="Times New Roman Regular" w:hAnsi="Times New Roman Regular" w:eastAsia="仿宋_GB2312" w:cs="Times New Roman Regular"/>
          <w:color w:val="auto"/>
          <w:kern w:val="2"/>
          <w:sz w:val="32"/>
          <w:szCs w:val="32"/>
          <w:lang w:val="en-US" w:eastAsia="zh-CN"/>
        </w:rPr>
        <w:t>该</w:t>
      </w:r>
      <w:r>
        <w:rPr>
          <w:rFonts w:hint="eastAsia" w:ascii="Times New Roman Regular" w:hAnsi="Times New Roman Regular" w:eastAsia="仿宋_GB2312" w:cs="Times New Roman Regular"/>
          <w:color w:val="auto"/>
          <w:kern w:val="2"/>
          <w:sz w:val="32"/>
          <w:szCs w:val="32"/>
          <w:lang w:val="zh-CN" w:eastAsia="zh-CN"/>
        </w:rPr>
        <w:t>项目绩效导向贯穿于项目预算编制、执行、决算的全过程，对</w:t>
      </w:r>
      <w:r>
        <w:rPr>
          <w:rFonts w:hint="eastAsia" w:ascii="Times New Roman Regular" w:hAnsi="Times New Roman Regular" w:eastAsia="仿宋_GB2312" w:cs="Times New Roman Regular"/>
          <w:color w:val="auto"/>
          <w:kern w:val="2"/>
          <w:sz w:val="32"/>
          <w:szCs w:val="32"/>
          <w:lang w:val="en-US" w:eastAsia="zh-CN"/>
        </w:rPr>
        <w:t>该</w:t>
      </w:r>
      <w:r>
        <w:rPr>
          <w:rFonts w:hint="eastAsia" w:ascii="Times New Roman Regular" w:hAnsi="Times New Roman Regular" w:eastAsia="仿宋_GB2312" w:cs="Times New Roman Regular"/>
          <w:color w:val="auto"/>
          <w:kern w:val="2"/>
          <w:sz w:val="32"/>
          <w:szCs w:val="32"/>
          <w:lang w:val="zh-CN" w:eastAsia="zh-CN"/>
        </w:rPr>
        <w:t>项目预算支出的经济性、效率性、效益性和公平性进行客观、公正的事前评估、过程监控及事后评价，并将评价结果反馈应用及公开。自评得分</w:t>
      </w:r>
      <w:r>
        <w:rPr>
          <w:rFonts w:hint="eastAsia" w:ascii="Times New Roman Regular" w:hAnsi="Times New Roman Regular" w:eastAsia="仿宋_GB2312" w:cs="Times New Roman Regular"/>
          <w:color w:val="auto"/>
          <w:kern w:val="2"/>
          <w:sz w:val="32"/>
          <w:szCs w:val="32"/>
          <w:lang w:val="en-US" w:eastAsia="zh-CN"/>
        </w:rPr>
        <w:t>100分。</w:t>
      </w:r>
    </w:p>
    <w:p>
      <w:pPr>
        <w:pStyle w:val="39"/>
        <w:spacing w:line="578" w:lineRule="exact"/>
        <w:ind w:firstLine="640" w:firstLineChars="200"/>
        <w:jc w:val="left"/>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（二）绩效分析</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1</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项目决策指标分析</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“党风廉政建设社会评价工作”经费项目设立程序严密</w:t>
      </w:r>
      <w:r>
        <w:rPr>
          <w:rFonts w:hint="eastAsia" w:ascii="Times New Roman Regular" w:hAnsi="Times New Roman Regular" w:eastAsia="仿宋_GB2312" w:cs="Times New Roman Regular"/>
          <w:color w:val="auto"/>
          <w:kern w:val="2"/>
          <w:sz w:val="32"/>
          <w:szCs w:val="32"/>
          <w:lang w:val="zh-CN" w:eastAsia="zh-CN"/>
        </w:rPr>
        <w:t>，预算规划合理，项目制度健全，经费保障目标清晰。</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2</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预算管理指标分析</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“党风廉政建设社会评价工作”项目预算通过县财政“两上两下”方式进行编制、审批，项目资金根据工作开展进度实时审核支付，无资金分配拨付</w:t>
      </w:r>
      <w:r>
        <w:rPr>
          <w:rFonts w:ascii="Times New Roman Regular" w:hAnsi="Times New Roman Regular" w:eastAsia="仿宋_GB2312" w:cs="Times New Roman Regular"/>
          <w:color w:val="auto"/>
          <w:kern w:val="2"/>
          <w:sz w:val="32"/>
          <w:szCs w:val="32"/>
          <w:lang w:val="en-US"/>
        </w:rPr>
        <w:t>。</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3</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项目实施指标分析</w:t>
      </w:r>
    </w:p>
    <w:p>
      <w:pPr>
        <w:pStyle w:val="39"/>
        <w:numPr>
          <w:ilvl w:val="0"/>
          <w:numId w:val="0"/>
        </w:numPr>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“党风廉政建设社会评价工作”项目实施结果与年初预算申报相符，项目管理规范，全部为县级财政资金，无其他配套资金。</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4</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产出指标分析</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hint="default" w:ascii="Times New Roman" w:hAnsi="Times New Roman" w:eastAsia="仿宋_GB2312" w:cs="Times New Roman"/>
          <w:sz w:val="32"/>
          <w:szCs w:val="32"/>
          <w:u w:val="none"/>
          <w:lang w:val="en-US" w:eastAsia="zh-CN"/>
        </w:rPr>
        <w:t>发放</w:t>
      </w:r>
      <w:r>
        <w:rPr>
          <w:rFonts w:hint="eastAsia" w:ascii="Times New Roman" w:hAnsi="Times New Roman" w:eastAsia="仿宋_GB2312" w:cs="Times New Roman"/>
          <w:sz w:val="32"/>
          <w:szCs w:val="32"/>
          <w:u w:val="none"/>
          <w:lang w:val="en-US" w:eastAsia="zh-CN"/>
        </w:rPr>
        <w:t>廉政</w:t>
      </w:r>
      <w:r>
        <w:rPr>
          <w:rFonts w:hint="default" w:ascii="Times New Roman" w:hAnsi="Times New Roman" w:eastAsia="仿宋_GB2312" w:cs="Times New Roman"/>
          <w:sz w:val="32"/>
          <w:szCs w:val="32"/>
          <w:u w:val="none"/>
          <w:lang w:val="en-US" w:eastAsia="zh-CN"/>
        </w:rPr>
        <w:t>“大礼包”，集中观看警示教育片，常态化开展警示教育，切实筑牢廉政防线。</w:t>
      </w:r>
      <w:r>
        <w:rPr>
          <w:rFonts w:hint="eastAsia" w:ascii="Times New Roman" w:hAnsi="Times New Roman" w:eastAsia="仿宋_GB2312" w:cs="Times New Roman"/>
          <w:color w:val="000000"/>
          <w:sz w:val="32"/>
          <w:szCs w:val="32"/>
          <w:u w:val="none"/>
          <w:lang w:val="en" w:eastAsia="zh-CN"/>
        </w:rPr>
        <w:t>持续深入开展“万</w:t>
      </w:r>
      <w:r>
        <w:rPr>
          <w:rFonts w:hint="eastAsia" w:eastAsia="仿宋_GB2312" w:cs="Times New Roman"/>
          <w:color w:val="000000"/>
          <w:sz w:val="32"/>
          <w:szCs w:val="32"/>
          <w:u w:val="none"/>
          <w:lang w:val="en" w:eastAsia="zh-CN"/>
        </w:rPr>
        <w:t>名</w:t>
      </w:r>
      <w:r>
        <w:rPr>
          <w:rFonts w:hint="eastAsia" w:ascii="Times New Roman" w:hAnsi="Times New Roman" w:eastAsia="仿宋_GB2312" w:cs="Times New Roman"/>
          <w:color w:val="000000"/>
          <w:sz w:val="32"/>
          <w:szCs w:val="32"/>
          <w:u w:val="none"/>
          <w:lang w:val="en" w:eastAsia="zh-CN"/>
        </w:rPr>
        <w:t>群众评作风”活动，常态化抓实问题整改，推动</w:t>
      </w:r>
      <w:r>
        <w:rPr>
          <w:rFonts w:hint="eastAsia" w:ascii="Times New Roman" w:hAnsi="Times New Roman" w:eastAsia="仿宋_GB2312" w:cs="Times New Roman"/>
          <w:color w:val="000000"/>
          <w:sz w:val="32"/>
          <w:szCs w:val="32"/>
          <w:u w:val="none"/>
          <w:lang w:val="en-US" w:eastAsia="zh-CN"/>
        </w:rPr>
        <w:t>解决4个急难愁盼问题。实施“阳光问廉”下乡进村，聚焦群众用水、低保评议等问题录制《夹金山下话廉洁》第二期节目，及时回应群众期盼、推动问题解决</w:t>
      </w:r>
      <w:r>
        <w:rPr>
          <w:rFonts w:ascii="Times New Roman Regular" w:hAnsi="Times New Roman Regular" w:eastAsia="仿宋_GB2312" w:cs="Times New Roman Regular"/>
          <w:color w:val="auto"/>
          <w:kern w:val="2"/>
          <w:sz w:val="32"/>
          <w:szCs w:val="32"/>
          <w:lang w:val="en-US"/>
        </w:rPr>
        <w:t>。</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5</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效果指标分析</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6" w:lineRule="exact"/>
        <w:ind w:right="0" w:firstLine="640" w:firstLineChars="200"/>
        <w:jc w:val="both"/>
        <w:textAlignment w:val="auto"/>
        <w:rPr>
          <w:rStyle w:val="22"/>
          <w:rFonts w:hint="default" w:ascii="Times New Roman" w:hAnsi="Times New Roman" w:eastAsia="仿宋_GB2312" w:cs="Times New Roman"/>
          <w:b w:val="0"/>
          <w:bCs/>
          <w:sz w:val="32"/>
          <w:szCs w:val="32"/>
          <w:u w:val="none"/>
          <w:lang w:val="en-US" w:eastAsia="zh-CN"/>
        </w:rPr>
      </w:pPr>
      <w:r>
        <w:rPr>
          <w:rStyle w:val="22"/>
          <w:rFonts w:hint="default" w:ascii="Times New Roman" w:hAnsi="Times New Roman" w:eastAsia="仿宋_GB2312" w:cs="Times New Roman"/>
          <w:b w:val="0"/>
          <w:bCs/>
          <w:sz w:val="32"/>
          <w:szCs w:val="32"/>
          <w:u w:val="none"/>
          <w:lang w:val="en-US" w:eastAsia="zh-CN"/>
        </w:rPr>
        <w:t>落实加强新时代廉洁文化建设意见，把廉洁文化建设融入全县宣传思想文化工作，深入挖掘廉洁文化、红色文化元素，创新警示教育方式、拓展廉洁教育平台，讲好新时代</w:t>
      </w:r>
      <w:r>
        <w:rPr>
          <w:rStyle w:val="22"/>
          <w:rFonts w:hint="eastAsia" w:ascii="Times New Roman" w:hAnsi="Times New Roman" w:eastAsia="仿宋_GB2312" w:cs="Times New Roman"/>
          <w:b w:val="0"/>
          <w:bCs/>
          <w:sz w:val="32"/>
          <w:szCs w:val="32"/>
          <w:u w:val="none"/>
          <w:lang w:val="en-US" w:eastAsia="zh-CN"/>
        </w:rPr>
        <w:t>宝兴</w:t>
      </w:r>
      <w:r>
        <w:rPr>
          <w:rStyle w:val="22"/>
          <w:rFonts w:hint="default" w:ascii="Times New Roman" w:hAnsi="Times New Roman" w:eastAsia="仿宋_GB2312" w:cs="Times New Roman"/>
          <w:b w:val="0"/>
          <w:bCs/>
          <w:sz w:val="32"/>
          <w:szCs w:val="32"/>
          <w:u w:val="none"/>
          <w:lang w:val="en-US" w:eastAsia="zh-CN"/>
        </w:rPr>
        <w:t>廉洁故事，持续创建“雅廉细胞”，全面推进清廉宝兴建设，营造崇廉拒腐、向上向善的良好风尚。</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6</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成本指标分析</w:t>
      </w:r>
    </w:p>
    <w:p>
      <w:pPr>
        <w:pStyle w:val="39"/>
        <w:spacing w:line="560" w:lineRule="exact"/>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项目直接经济成本6.25万元，保障了党风廉政建设社会评价工作顺利开展。</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7</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满意度指标分析</w:t>
      </w:r>
    </w:p>
    <w:p>
      <w:pPr>
        <w:spacing w:after="0" w:line="560" w:lineRule="exact"/>
        <w:ind w:firstLine="640" w:firstLineChars="200"/>
        <w:jc w:val="both"/>
        <w:rPr>
          <w:rFonts w:ascii="仿宋_GB2312" w:hAnsi="宋体" w:eastAsia="仿宋_GB2312"/>
          <w:sz w:val="32"/>
          <w:szCs w:val="32"/>
        </w:rPr>
      </w:pPr>
      <w:r>
        <w:rPr>
          <w:rFonts w:hint="eastAsia" w:ascii="仿宋_GB2312" w:hAnsi="宋体"/>
          <w:sz w:val="32"/>
          <w:szCs w:val="32"/>
          <w:lang w:val="en-US" w:eastAsia="zh-CN"/>
        </w:rPr>
        <w:t>该项目</w:t>
      </w:r>
      <w:r>
        <w:rPr>
          <w:rFonts w:hint="eastAsia" w:ascii="仿宋_GB2312" w:hAnsi="宋体" w:eastAsia="仿宋_GB2312"/>
          <w:sz w:val="32"/>
          <w:szCs w:val="32"/>
        </w:rPr>
        <w:t>提高党风廉政建设工作质量，营造风清气正的政治生态</w:t>
      </w:r>
      <w:r>
        <w:rPr>
          <w:rFonts w:hint="eastAsia" w:ascii="仿宋_GB2312" w:hAnsi="宋体"/>
          <w:sz w:val="32"/>
          <w:szCs w:val="32"/>
          <w:lang w:val="en-US" w:eastAsia="zh-CN"/>
        </w:rPr>
        <w:t>和</w:t>
      </w:r>
      <w:r>
        <w:rPr>
          <w:rFonts w:hint="eastAsia" w:ascii="仿宋_GB2312" w:hAnsi="宋体" w:eastAsia="仿宋_GB2312"/>
          <w:sz w:val="32"/>
          <w:szCs w:val="32"/>
        </w:rPr>
        <w:t>服务群众等工作。因此</w:t>
      </w:r>
      <w:r>
        <w:rPr>
          <w:rFonts w:hint="eastAsia" w:ascii="仿宋_GB2312" w:hAnsi="宋体" w:eastAsia="仿宋_GB2312"/>
          <w:sz w:val="32"/>
          <w:szCs w:val="32"/>
          <w:lang w:val="zh-CN"/>
        </w:rPr>
        <w:t>服务对象满意度</w:t>
      </w:r>
      <w:r>
        <w:rPr>
          <w:rFonts w:hint="eastAsia" w:ascii="仿宋_GB2312" w:hAnsi="宋体"/>
          <w:sz w:val="32"/>
          <w:szCs w:val="32"/>
          <w:lang w:val="en-US" w:eastAsia="zh-CN"/>
        </w:rPr>
        <w:t>100%</w:t>
      </w:r>
      <w:r>
        <w:rPr>
          <w:rFonts w:hint="eastAsia" w:ascii="仿宋_GB2312" w:hAnsi="宋体" w:eastAsia="仿宋_GB2312"/>
          <w:sz w:val="32"/>
          <w:szCs w:val="32"/>
          <w:lang w:val="zh-CN"/>
        </w:rPr>
        <w:t>。</w:t>
      </w:r>
    </w:p>
    <w:p>
      <w:pPr>
        <w:pStyle w:val="39"/>
        <w:numPr>
          <w:ilvl w:val="0"/>
          <w:numId w:val="12"/>
        </w:numPr>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存在主要问题</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CN" w:bidi="ar-SA"/>
        </w:rPr>
        <w:t>绩效管理质量有待进一步提高。</w:t>
      </w:r>
    </w:p>
    <w:p>
      <w:pPr>
        <w:pStyle w:val="39"/>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四、相关措施建议</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CN" w:bidi="ar-SA"/>
        </w:rPr>
        <w:t>改进在预算绩效理念、管理创新、评价结果应用等方面的短板和不足。</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bidi="ar-SA"/>
        </w:rPr>
      </w:pPr>
    </w:p>
    <w:p>
      <w:pPr>
        <w:pStyle w:val="39"/>
        <w:spacing w:line="578" w:lineRule="exact"/>
        <w:jc w:val="center"/>
        <w:rPr>
          <w:rFonts w:hint="eastAsia" w:ascii="Times New Roman Regular" w:hAnsi="Times New Roman Regular" w:eastAsia="方正小标宋简体" w:cs="Times New Roman Regular"/>
          <w:color w:val="auto"/>
          <w:kern w:val="2"/>
          <w:sz w:val="40"/>
          <w:szCs w:val="40"/>
          <w:lang w:val="en-US" w:eastAsia="zh-CN"/>
        </w:rPr>
      </w:pPr>
      <w:r>
        <w:rPr>
          <w:rFonts w:hint="eastAsia" w:ascii="Times New Roman Regular" w:hAnsi="Times New Roman Regular" w:eastAsia="方正小标宋简体" w:cs="Times New Roman Regular"/>
          <w:color w:val="auto"/>
          <w:kern w:val="2"/>
          <w:sz w:val="40"/>
          <w:szCs w:val="40"/>
          <w:lang w:val="en-US" w:eastAsia="zh-CN"/>
        </w:rPr>
        <w:t>中共宝兴县纪委办公室</w:t>
      </w:r>
    </w:p>
    <w:p>
      <w:pPr>
        <w:pStyle w:val="39"/>
        <w:spacing w:line="578" w:lineRule="exact"/>
        <w:jc w:val="center"/>
        <w:rPr>
          <w:rFonts w:ascii="Times New Roman Regular" w:hAnsi="Times New Roman Regular" w:eastAsia="方正小标宋简体" w:cs="Times New Roman Regular"/>
          <w:color w:val="auto"/>
          <w:kern w:val="2"/>
          <w:sz w:val="40"/>
          <w:szCs w:val="40"/>
          <w:lang w:val="en-US"/>
        </w:rPr>
      </w:pPr>
      <w:r>
        <w:rPr>
          <w:rFonts w:hint="eastAsia" w:ascii="Times New Roman Regular" w:hAnsi="Times New Roman Regular" w:eastAsia="方正小标宋简体" w:cs="Times New Roman Regular"/>
          <w:color w:val="auto"/>
          <w:kern w:val="2"/>
          <w:sz w:val="40"/>
          <w:szCs w:val="40"/>
          <w:lang w:val="en-US" w:eastAsia="zh-CN"/>
        </w:rPr>
        <w:t>关于</w:t>
      </w:r>
      <w:r>
        <w:rPr>
          <w:rFonts w:ascii="Times New Roman Bold" w:hAnsi="Times New Roman Bold" w:eastAsia="方正小标宋简体" w:cs="Times New Roman Bold"/>
          <w:b/>
          <w:bCs/>
          <w:color w:val="auto"/>
          <w:kern w:val="2"/>
          <w:sz w:val="40"/>
          <w:szCs w:val="40"/>
          <w:lang w:val="en-US"/>
        </w:rPr>
        <w:t>2023</w:t>
      </w:r>
      <w:r>
        <w:rPr>
          <w:rFonts w:ascii="Times New Roman Regular" w:hAnsi="Times New Roman Regular" w:eastAsia="方正小标宋简体" w:cs="Times New Roman Regular"/>
          <w:color w:val="auto"/>
          <w:kern w:val="2"/>
          <w:sz w:val="40"/>
          <w:szCs w:val="40"/>
          <w:lang w:val="en-US"/>
        </w:rPr>
        <w:t>年度</w:t>
      </w:r>
      <w:r>
        <w:rPr>
          <w:rFonts w:hint="eastAsia" w:ascii="Times New Roman Regular" w:hAnsi="Times New Roman Regular" w:eastAsia="方正小标宋简体" w:cs="Times New Roman Regular"/>
          <w:color w:val="auto"/>
          <w:kern w:val="2"/>
          <w:sz w:val="40"/>
          <w:szCs w:val="40"/>
          <w:lang w:val="en-US" w:eastAsia="zh-CN"/>
        </w:rPr>
        <w:t>“</w:t>
      </w:r>
      <w:r>
        <w:rPr>
          <w:rFonts w:hint="eastAsia" w:ascii="Times New Roman Regular" w:hAnsi="Times New Roman Regular" w:eastAsia="方正小标宋简体" w:cs="Times New Roman Regular"/>
          <w:color w:val="auto"/>
          <w:kern w:val="2"/>
          <w:sz w:val="40"/>
          <w:szCs w:val="40"/>
          <w:lang w:val="en-US"/>
        </w:rPr>
        <w:t>纪检监察审查调查</w:t>
      </w:r>
      <w:r>
        <w:rPr>
          <w:rFonts w:hint="eastAsia" w:ascii="Times New Roman Regular" w:hAnsi="Times New Roman Regular" w:eastAsia="方正小标宋简体" w:cs="Times New Roman Regular"/>
          <w:color w:val="auto"/>
          <w:kern w:val="2"/>
          <w:sz w:val="40"/>
          <w:szCs w:val="40"/>
          <w:lang w:val="en-US" w:eastAsia="zh-CN"/>
        </w:rPr>
        <w:t>”</w:t>
      </w:r>
      <w:r>
        <w:rPr>
          <w:rFonts w:ascii="Times New Roman Regular" w:hAnsi="Times New Roman Regular" w:eastAsia="方正小标宋简体" w:cs="Times New Roman Regular"/>
          <w:color w:val="auto"/>
          <w:kern w:val="2"/>
          <w:sz w:val="40"/>
          <w:szCs w:val="40"/>
          <w:lang w:val="en-US"/>
        </w:rPr>
        <w:t>专项资金</w:t>
      </w:r>
    </w:p>
    <w:p>
      <w:pPr>
        <w:pStyle w:val="39"/>
        <w:spacing w:line="578" w:lineRule="exact"/>
        <w:jc w:val="center"/>
        <w:rPr>
          <w:rFonts w:ascii="Times New Roman Regular" w:hAnsi="Times New Roman Regular" w:eastAsia="方正小标宋简体" w:cs="Times New Roman Regular"/>
          <w:color w:val="auto"/>
          <w:kern w:val="2"/>
          <w:sz w:val="40"/>
          <w:szCs w:val="40"/>
          <w:lang w:val="en-US"/>
        </w:rPr>
      </w:pPr>
      <w:r>
        <w:rPr>
          <w:rFonts w:ascii="Times New Roman Regular" w:hAnsi="Times New Roman Regular" w:eastAsia="方正小标宋简体" w:cs="Times New Roman Regular"/>
          <w:color w:val="auto"/>
          <w:kern w:val="2"/>
          <w:sz w:val="40"/>
          <w:szCs w:val="40"/>
          <w:lang w:val="en-US"/>
        </w:rPr>
        <w:t>预算项目绩效自评报告</w:t>
      </w:r>
    </w:p>
    <w:p>
      <w:pPr>
        <w:pStyle w:val="39"/>
        <w:spacing w:line="578" w:lineRule="exact"/>
        <w:jc w:val="center"/>
        <w:rPr>
          <w:rFonts w:ascii="Times New Roman Regular" w:hAnsi="Times New Roman Regular" w:eastAsia="方正小标宋简体" w:cs="Times New Roman Regular"/>
          <w:color w:val="auto"/>
          <w:kern w:val="2"/>
          <w:sz w:val="40"/>
          <w:szCs w:val="40"/>
          <w:lang w:val="en-US"/>
        </w:rPr>
      </w:pPr>
    </w:p>
    <w:p>
      <w:pPr>
        <w:pStyle w:val="39"/>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一、项目基本情况</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（一）项目</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政策</w:t>
      </w:r>
      <w:r>
        <w:rPr>
          <w:rFonts w:hint="eastAsia" w:ascii="Times New Roman Regular" w:hAnsi="Times New Roman Regular" w:eastAsia="楷体_GB2312" w:cs="Times New Roman Regular"/>
          <w:color w:val="auto"/>
          <w:kern w:val="2"/>
          <w:sz w:val="32"/>
          <w:szCs w:val="32"/>
          <w:lang w:val="en-US"/>
        </w:rPr>
        <w:t>）</w:t>
      </w:r>
      <w:r>
        <w:rPr>
          <w:rFonts w:ascii="Times New Roman Regular" w:hAnsi="Times New Roman Regular" w:eastAsia="楷体_GB2312" w:cs="Times New Roman Regular"/>
          <w:color w:val="auto"/>
          <w:kern w:val="2"/>
          <w:sz w:val="32"/>
          <w:szCs w:val="32"/>
          <w:lang w:val="en-US"/>
        </w:rPr>
        <w:t>目标、年度绩效目标</w:t>
      </w:r>
    </w:p>
    <w:p>
      <w:pPr>
        <w:spacing w:after="0" w:line="560" w:lineRule="exact"/>
        <w:ind w:firstLine="640" w:firstLineChars="200"/>
        <w:jc w:val="both"/>
        <w:rPr>
          <w:rFonts w:ascii="仿宋_GB2312" w:hAnsi="宋体" w:eastAsia="仿宋_GB2312"/>
          <w:sz w:val="32"/>
          <w:szCs w:val="32"/>
        </w:rPr>
      </w:pPr>
      <w:r>
        <w:rPr>
          <w:rFonts w:hint="eastAsia" w:ascii="仿宋_GB2312"/>
          <w:sz w:val="32"/>
          <w:szCs w:val="32"/>
          <w:shd w:val="clear" w:color="auto" w:fill="FFFFFF"/>
          <w:lang w:val="en-US" w:eastAsia="zh-CN"/>
        </w:rPr>
        <w:t>为</w:t>
      </w:r>
      <w:r>
        <w:rPr>
          <w:rFonts w:hint="eastAsia" w:ascii="仿宋_GB2312" w:eastAsia="仿宋_GB2312"/>
          <w:sz w:val="32"/>
          <w:szCs w:val="32"/>
          <w:shd w:val="clear" w:color="auto" w:fill="FFFFFF"/>
        </w:rPr>
        <w:t>委机关开展信访初核、预防职务犯罪、反腐倡廉宣传等未单独设置项级科目的专门性财政管理工作的项目支出</w:t>
      </w:r>
      <w:r>
        <w:rPr>
          <w:rFonts w:hint="eastAsia" w:ascii="仿宋_GB2312" w:hAnsi="宋体" w:eastAsia="仿宋_GB2312"/>
          <w:sz w:val="32"/>
          <w:szCs w:val="32"/>
        </w:rPr>
        <w:t>相关费用。</w:t>
      </w:r>
    </w:p>
    <w:p>
      <w:pPr>
        <w:pStyle w:val="39"/>
        <w:numPr>
          <w:ilvl w:val="0"/>
          <w:numId w:val="0"/>
        </w:numPr>
        <w:spacing w:line="560" w:lineRule="exact"/>
        <w:rPr>
          <w:rFonts w:ascii="Times New Roman Regular" w:hAnsi="Times New Roman Regular" w:eastAsia="楷体_GB2312" w:cs="Times New Roman Regular"/>
          <w:color w:val="auto"/>
          <w:kern w:val="2"/>
          <w:sz w:val="32"/>
          <w:szCs w:val="32"/>
          <w:lang w:val="en-US"/>
        </w:rPr>
      </w:pPr>
      <w:r>
        <w:rPr>
          <w:rFonts w:hint="eastAsia" w:ascii="Times New Roman Regular" w:hAnsi="Times New Roman Regular" w:eastAsia="楷体_GB2312" w:cs="Times New Roman Regular"/>
          <w:color w:val="auto"/>
          <w:kern w:val="2"/>
          <w:sz w:val="32"/>
          <w:szCs w:val="32"/>
          <w:lang w:val="en-US" w:eastAsia="zh-CN"/>
        </w:rPr>
        <w:t xml:space="preserve">     （二）</w:t>
      </w:r>
      <w:r>
        <w:rPr>
          <w:rFonts w:ascii="Times New Roman Regular" w:hAnsi="Times New Roman Regular" w:eastAsia="楷体_GB2312" w:cs="Times New Roman Regular"/>
          <w:color w:val="auto"/>
          <w:kern w:val="2"/>
          <w:sz w:val="32"/>
          <w:szCs w:val="32"/>
          <w:lang w:val="en-US"/>
        </w:rPr>
        <w:t>资金管理办法制定情况、申报项目的条件、范围与支持方式</w:t>
      </w:r>
    </w:p>
    <w:p>
      <w:pPr>
        <w:pStyle w:val="39"/>
        <w:numPr>
          <w:ilvl w:val="0"/>
          <w:numId w:val="0"/>
        </w:numPr>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zh-CN" w:eastAsia="zh-CN"/>
        </w:rPr>
        <w:t>制定了“三重一大”议事规则和实施细则，</w:t>
      </w:r>
      <w:r>
        <w:rPr>
          <w:rFonts w:hint="eastAsia" w:ascii="仿宋_GB2312" w:hAnsi="宋体" w:eastAsia="仿宋_GB2312" w:cs="Times New Roman"/>
          <w:color w:val="auto"/>
          <w:kern w:val="2"/>
          <w:sz w:val="32"/>
          <w:szCs w:val="32"/>
          <w:lang w:val="zh-CN" w:eastAsia="zh-CN" w:bidi="ar-SA"/>
        </w:rPr>
        <w:t>严格执行财务管理制度，账务处理及时，会计核算规范。</w:t>
      </w:r>
      <w:r>
        <w:rPr>
          <w:rFonts w:hint="eastAsia" w:ascii="Times New Roman Regular" w:hAnsi="Times New Roman Regular" w:eastAsia="仿宋_GB2312" w:cs="Times New Roman Regular"/>
          <w:color w:val="auto"/>
          <w:kern w:val="2"/>
          <w:sz w:val="32"/>
          <w:szCs w:val="32"/>
          <w:lang w:val="zh-CN" w:eastAsia="zh-CN"/>
        </w:rPr>
        <w:t>项目资金根据单位职责和年度目标计划、工作重点、工作运行保障申报，通过财政一体化系统的预算管理模块进行年度资金预算申报，采取向财政预算科“两上两下”的申报批复程序进行项目资金申报及批复。</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（三）项目资金使用情况</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1.</w:t>
      </w:r>
      <w:r>
        <w:rPr>
          <w:rFonts w:hint="eastAsia" w:ascii="Times New Roman Regular" w:hAnsi="Times New Roman Regular" w:eastAsia="仿宋_GB2312" w:cs="Times New Roman Regular"/>
          <w:color w:val="auto"/>
          <w:kern w:val="2"/>
          <w:sz w:val="32"/>
          <w:szCs w:val="32"/>
          <w:lang w:val="zh-CN" w:eastAsia="zh-CN"/>
        </w:rPr>
        <w:t>年度预算：全部为县级财政资金保障，</w:t>
      </w:r>
      <w:r>
        <w:rPr>
          <w:rFonts w:hint="eastAsia" w:ascii="Times New Roman Regular" w:hAnsi="Times New Roman Regular" w:eastAsia="仿宋_GB2312" w:cs="Times New Roman Regular"/>
          <w:color w:val="auto"/>
          <w:kern w:val="2"/>
          <w:sz w:val="32"/>
          <w:szCs w:val="32"/>
          <w:lang w:val="en-US" w:eastAsia="zh-CN"/>
        </w:rPr>
        <w:t>资金保障43.97万元。</w:t>
      </w:r>
    </w:p>
    <w:p>
      <w:pPr>
        <w:pStyle w:val="39"/>
        <w:numPr>
          <w:ilvl w:val="0"/>
          <w:numId w:val="0"/>
        </w:numPr>
        <w:spacing w:line="560" w:lineRule="exact"/>
        <w:ind w:firstLine="640" w:firstLineChars="200"/>
        <w:rPr>
          <w:rFonts w:hint="eastAsia" w:ascii="Times New Roman Regular" w:hAnsi="Times New Roman Regular" w:eastAsia="仿宋_GB2312" w:cs="Times New Roman Regular"/>
          <w:color w:val="auto"/>
          <w:kern w:val="2"/>
          <w:sz w:val="32"/>
          <w:szCs w:val="32"/>
          <w:lang w:val="zh-CN" w:eastAsia="zh-CN"/>
        </w:rPr>
      </w:pPr>
      <w:r>
        <w:rPr>
          <w:rFonts w:hint="eastAsia" w:ascii="Times New Roman Regular" w:hAnsi="Times New Roman Regular" w:eastAsia="仿宋_GB2312" w:cs="Times New Roman Regular"/>
          <w:color w:val="auto"/>
          <w:kern w:val="2"/>
          <w:sz w:val="32"/>
          <w:szCs w:val="32"/>
          <w:lang w:val="zh-CN" w:eastAsia="zh-CN"/>
        </w:rPr>
        <w:t>2．实际执行：截至评价时项目资金到位</w:t>
      </w:r>
      <w:r>
        <w:rPr>
          <w:rFonts w:hint="eastAsia" w:ascii="Times New Roman Regular" w:hAnsi="Times New Roman Regular" w:eastAsia="仿宋_GB2312" w:cs="Times New Roman Regular"/>
          <w:color w:val="auto"/>
          <w:kern w:val="2"/>
          <w:sz w:val="32"/>
          <w:szCs w:val="32"/>
          <w:lang w:val="en-US" w:eastAsia="zh-CN"/>
        </w:rPr>
        <w:t>43.97万元，使用43.96万元，结余资金0.01万元，收回0.01万元</w:t>
      </w:r>
      <w:r>
        <w:rPr>
          <w:rFonts w:hint="eastAsia" w:ascii="Times New Roman Regular" w:hAnsi="Times New Roman Regular" w:eastAsia="仿宋_GB2312" w:cs="Times New Roman Regular"/>
          <w:color w:val="auto"/>
          <w:kern w:val="2"/>
          <w:sz w:val="32"/>
          <w:szCs w:val="32"/>
          <w:lang w:val="zh-CN" w:eastAsia="zh-CN"/>
        </w:rPr>
        <w:t>。全部为县财政资金，无单位自筹资金及其他渠道资金。支出标准及支付进度相符，支付依据合规合法，资金支付与预算相符。</w:t>
      </w:r>
    </w:p>
    <w:p>
      <w:pPr>
        <w:pStyle w:val="39"/>
        <w:spacing w:line="560" w:lineRule="exact"/>
        <w:ind w:left="1380" w:leftChars="200" w:hanging="960" w:hangingChars="300"/>
        <w:rPr>
          <w:rFonts w:hint="eastAsia" w:ascii="Times New Roman Regular" w:hAnsi="Times New Roman Regular" w:eastAsia="仿宋_GB2312" w:cs="Times New Roman Regular"/>
          <w:color w:val="auto"/>
          <w:kern w:val="2"/>
          <w:sz w:val="32"/>
          <w:szCs w:val="32"/>
          <w:lang w:val="zh-CN" w:eastAsia="zh-CN"/>
        </w:rPr>
      </w:pPr>
      <w:r>
        <w:rPr>
          <w:rFonts w:hint="eastAsia" w:ascii="Times New Roman Regular" w:hAnsi="Times New Roman Regular" w:eastAsia="仿宋_GB2312" w:cs="Times New Roman Regular"/>
          <w:color w:val="auto"/>
          <w:kern w:val="2"/>
          <w:sz w:val="32"/>
          <w:szCs w:val="32"/>
          <w:lang w:val="en-US" w:eastAsia="zh-CN"/>
        </w:rPr>
        <w:t>3.实际</w:t>
      </w:r>
      <w:r>
        <w:rPr>
          <w:rFonts w:hint="eastAsia" w:ascii="Times New Roman Regular" w:hAnsi="Times New Roman Regular" w:eastAsia="仿宋_GB2312" w:cs="Times New Roman Regular"/>
          <w:color w:val="auto"/>
          <w:kern w:val="2"/>
          <w:sz w:val="32"/>
          <w:szCs w:val="32"/>
          <w:lang w:val="zh-CN" w:eastAsia="zh-CN"/>
        </w:rPr>
        <w:t>执行率</w:t>
      </w:r>
      <w:r>
        <w:rPr>
          <w:rFonts w:hint="eastAsia" w:ascii="Times New Roman Regular" w:hAnsi="Times New Roman Regular" w:eastAsia="仿宋_GB2312" w:cs="Times New Roman Regular"/>
          <w:color w:val="auto"/>
          <w:kern w:val="2"/>
          <w:sz w:val="32"/>
          <w:szCs w:val="32"/>
          <w:lang w:val="en-US" w:eastAsia="zh-CN"/>
        </w:rPr>
        <w:t>100%</w:t>
      </w:r>
      <w:r>
        <w:rPr>
          <w:rFonts w:hint="eastAsia" w:ascii="Times New Roman Regular" w:hAnsi="Times New Roman Regular" w:eastAsia="仿宋_GB2312" w:cs="Times New Roman Regular"/>
          <w:color w:val="auto"/>
          <w:kern w:val="2"/>
          <w:sz w:val="32"/>
          <w:szCs w:val="32"/>
          <w:lang w:val="zh-CN" w:eastAsia="zh-CN"/>
        </w:rPr>
        <w:t>，无结转结余。</w:t>
      </w:r>
    </w:p>
    <w:p>
      <w:pPr>
        <w:pStyle w:val="39"/>
        <w:spacing w:line="560" w:lineRule="exact"/>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二、评价结论及绩效分析</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（一）评价结论</w:t>
      </w:r>
    </w:p>
    <w:p>
      <w:pPr>
        <w:pStyle w:val="39"/>
        <w:spacing w:line="560" w:lineRule="exact"/>
        <w:ind w:firstLine="640" w:firstLineChars="200"/>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zh-CN" w:eastAsia="zh-CN"/>
        </w:rPr>
        <w:t>截至当前，</w:t>
      </w:r>
      <w:r>
        <w:rPr>
          <w:rFonts w:hint="eastAsia" w:ascii="Times New Roman Regular" w:hAnsi="Times New Roman Regular" w:eastAsia="仿宋_GB2312" w:cs="Times New Roman Regular"/>
          <w:color w:val="auto"/>
          <w:kern w:val="2"/>
          <w:sz w:val="32"/>
          <w:szCs w:val="32"/>
          <w:lang w:val="en-US" w:eastAsia="zh-CN"/>
        </w:rPr>
        <w:t>“纪检监察审查调查”</w:t>
      </w:r>
      <w:r>
        <w:rPr>
          <w:rFonts w:hint="eastAsia" w:ascii="Times New Roman Regular" w:hAnsi="Times New Roman Regular" w:eastAsia="仿宋_GB2312" w:cs="Times New Roman Regular"/>
          <w:color w:val="auto"/>
          <w:kern w:val="2"/>
          <w:sz w:val="32"/>
          <w:szCs w:val="32"/>
          <w:lang w:val="zh-CN" w:eastAsia="zh-CN"/>
        </w:rPr>
        <w:t>项目的绩效目标符合客观实际，项目预期产出、效果符合正常的业绩水平，项目预算的内容、额度、标准、计划经济合理。根据</w:t>
      </w:r>
      <w:r>
        <w:rPr>
          <w:rFonts w:hint="eastAsia" w:ascii="Times New Roman Regular" w:hAnsi="Times New Roman Regular" w:eastAsia="仿宋_GB2312" w:cs="Times New Roman Regular"/>
          <w:color w:val="auto"/>
          <w:kern w:val="2"/>
          <w:sz w:val="32"/>
          <w:szCs w:val="32"/>
          <w:lang w:val="en-US" w:eastAsia="zh-CN"/>
        </w:rPr>
        <w:t>委机关</w:t>
      </w:r>
      <w:r>
        <w:rPr>
          <w:rFonts w:hint="eastAsia" w:ascii="Times New Roman Regular" w:hAnsi="Times New Roman Regular" w:eastAsia="仿宋_GB2312" w:cs="Times New Roman Regular"/>
          <w:color w:val="auto"/>
          <w:kern w:val="2"/>
          <w:sz w:val="32"/>
          <w:szCs w:val="32"/>
          <w:lang w:val="zh-CN" w:eastAsia="zh-CN"/>
        </w:rPr>
        <w:t>职责和年度目标计划，运用科学合理的绩效指标、绩效标准和方法，将</w:t>
      </w:r>
      <w:r>
        <w:rPr>
          <w:rFonts w:hint="eastAsia" w:ascii="Times New Roman Regular" w:hAnsi="Times New Roman Regular" w:eastAsia="仿宋_GB2312" w:cs="Times New Roman Regular"/>
          <w:color w:val="auto"/>
          <w:kern w:val="2"/>
          <w:sz w:val="32"/>
          <w:szCs w:val="32"/>
          <w:lang w:val="en-US" w:eastAsia="zh-CN"/>
        </w:rPr>
        <w:t>该</w:t>
      </w:r>
      <w:r>
        <w:rPr>
          <w:rFonts w:hint="eastAsia" w:ascii="Times New Roman Regular" w:hAnsi="Times New Roman Regular" w:eastAsia="仿宋_GB2312" w:cs="Times New Roman Regular"/>
          <w:color w:val="auto"/>
          <w:kern w:val="2"/>
          <w:sz w:val="32"/>
          <w:szCs w:val="32"/>
          <w:lang w:val="zh-CN" w:eastAsia="zh-CN"/>
        </w:rPr>
        <w:t>项目绩效导向贯穿于项目预算编制、执行、决算的全过程，对</w:t>
      </w:r>
      <w:r>
        <w:rPr>
          <w:rFonts w:hint="eastAsia" w:ascii="Times New Roman Regular" w:hAnsi="Times New Roman Regular" w:eastAsia="仿宋_GB2312" w:cs="Times New Roman Regular"/>
          <w:color w:val="auto"/>
          <w:kern w:val="2"/>
          <w:sz w:val="32"/>
          <w:szCs w:val="32"/>
          <w:lang w:val="en-US" w:eastAsia="zh-CN"/>
        </w:rPr>
        <w:t>该</w:t>
      </w:r>
      <w:r>
        <w:rPr>
          <w:rFonts w:hint="eastAsia" w:ascii="Times New Roman Regular" w:hAnsi="Times New Roman Regular" w:eastAsia="仿宋_GB2312" w:cs="Times New Roman Regular"/>
          <w:color w:val="auto"/>
          <w:kern w:val="2"/>
          <w:sz w:val="32"/>
          <w:szCs w:val="32"/>
          <w:lang w:val="zh-CN" w:eastAsia="zh-CN"/>
        </w:rPr>
        <w:t>项目预算支出的经济性、效率性、效益性和公平性进行客观、公正的事前评估、过程监控及事后评价，并将评价结果反馈应用及公开。自评得分</w:t>
      </w:r>
      <w:r>
        <w:rPr>
          <w:rFonts w:hint="eastAsia" w:ascii="Times New Roman Regular" w:hAnsi="Times New Roman Regular" w:eastAsia="仿宋_GB2312" w:cs="Times New Roman Regular"/>
          <w:color w:val="auto"/>
          <w:kern w:val="2"/>
          <w:sz w:val="32"/>
          <w:szCs w:val="32"/>
          <w:lang w:val="en-US" w:eastAsia="zh-CN"/>
        </w:rPr>
        <w:t>100分。</w:t>
      </w:r>
    </w:p>
    <w:p>
      <w:pPr>
        <w:pStyle w:val="39"/>
        <w:spacing w:line="560" w:lineRule="exact"/>
        <w:ind w:firstLine="640" w:firstLineChars="200"/>
        <w:rPr>
          <w:rFonts w:ascii="Times New Roman Regular" w:hAnsi="Times New Roman Regular" w:eastAsia="楷体_GB2312" w:cs="Times New Roman Regular"/>
          <w:color w:val="auto"/>
          <w:kern w:val="2"/>
          <w:sz w:val="32"/>
          <w:szCs w:val="32"/>
          <w:lang w:val="en-US"/>
        </w:rPr>
      </w:pPr>
      <w:r>
        <w:rPr>
          <w:rFonts w:ascii="Times New Roman Regular" w:hAnsi="Times New Roman Regular" w:eastAsia="楷体_GB2312" w:cs="Times New Roman Regular"/>
          <w:color w:val="auto"/>
          <w:kern w:val="2"/>
          <w:sz w:val="32"/>
          <w:szCs w:val="32"/>
          <w:lang w:val="en-US"/>
        </w:rPr>
        <w:t>（二）绩效分析（地方债券项目根据指标体系中对应内容进行分析）</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1</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项目决策指标分析</w:t>
      </w:r>
    </w:p>
    <w:p>
      <w:pPr>
        <w:pStyle w:val="39"/>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“纪检监察审查调查”经费项目设立程序严密</w:t>
      </w:r>
      <w:r>
        <w:rPr>
          <w:rFonts w:hint="eastAsia" w:ascii="Times New Roman Regular" w:hAnsi="Times New Roman Regular" w:eastAsia="仿宋_GB2312" w:cs="Times New Roman Regular"/>
          <w:color w:val="auto"/>
          <w:kern w:val="2"/>
          <w:sz w:val="32"/>
          <w:szCs w:val="32"/>
          <w:lang w:val="zh-CN" w:eastAsia="zh-CN"/>
        </w:rPr>
        <w:t>，预算规划合理，项目制度健全，经费保障目标清晰。</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2</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预算管理指标分析</w:t>
      </w:r>
    </w:p>
    <w:p>
      <w:pPr>
        <w:pStyle w:val="39"/>
        <w:numPr>
          <w:ilvl w:val="0"/>
          <w:numId w:val="0"/>
        </w:numPr>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hint="eastAsia" w:ascii="Times New Roman Regular" w:hAnsi="Times New Roman Regular" w:eastAsia="仿宋_GB2312" w:cs="Times New Roman Regular"/>
          <w:color w:val="auto"/>
          <w:kern w:val="2"/>
          <w:sz w:val="32"/>
          <w:szCs w:val="32"/>
          <w:lang w:val="en-US" w:eastAsia="zh-CN"/>
        </w:rPr>
        <w:t>“纪检监察审查调查”项目预算通过县财政“两上两下”方式进行编制、审批，项目资金根据工作开展进度实时审核支付，无资金分配拨付。</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3</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项目实施指标分析</w:t>
      </w:r>
    </w:p>
    <w:p>
      <w:pPr>
        <w:pStyle w:val="39"/>
        <w:numPr>
          <w:ilvl w:val="0"/>
          <w:numId w:val="0"/>
        </w:numPr>
        <w:spacing w:line="560" w:lineRule="exact"/>
        <w:ind w:firstLine="640" w:firstLineChars="200"/>
        <w:rPr>
          <w:rFonts w:hint="eastAsia"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“纪检监察审查调查”项目实施结果与年初预算申报相符，项目管理规范，全部为县级财政资金，无其他配套资金。</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4</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产出指标分析</w:t>
      </w:r>
    </w:p>
    <w:p>
      <w:pPr>
        <w:pStyle w:val="39"/>
        <w:spacing w:line="56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坚持“一严到底”战略定力</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更有章法、更加主动打好反腐败斗争攻坚战持久战，审查调查四项主要指标均大幅提升或优化。深入开展以案促改</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持续优化工作方法、完善工作机制，针对查处严重违纪违法案，一体推进案发单位及相关领域改、建、治，推动案件办理“全周期”管理。</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5</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效果指标分析</w:t>
      </w:r>
    </w:p>
    <w:p>
      <w:pPr>
        <w:pStyle w:val="39"/>
        <w:spacing w:line="560" w:lineRule="exact"/>
        <w:ind w:firstLine="640" w:firstLineChars="200"/>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一年来，全县纪检监察组织始终围绕省纪委监委“三大工作理念”“三个工作方案”和市纪委监委“四大行动”，深耕主责主业，审查调查质效提升明显，获得市纪委监委主要领导肯定。</w:t>
      </w:r>
      <w:r>
        <w:rPr>
          <w:rFonts w:hint="eastAsia" w:ascii="Times New Roman" w:hAnsi="Times New Roman" w:eastAsia="仿宋_GB2312" w:cs="Times New Roman"/>
          <w:sz w:val="32"/>
          <w:szCs w:val="32"/>
          <w:u w:val="none"/>
          <w:lang w:val="en-US" w:eastAsia="zh-CN"/>
        </w:rPr>
        <w:t>县纪委监委荣获宝兴县“6·1”芦山地震灾后恢复重建工作先进集体。</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6</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成本指标分析</w:t>
      </w:r>
    </w:p>
    <w:p>
      <w:pPr>
        <w:pStyle w:val="39"/>
        <w:numPr>
          <w:ilvl w:val="0"/>
          <w:numId w:val="0"/>
        </w:numPr>
        <w:spacing w:line="560" w:lineRule="exact"/>
        <w:ind w:firstLine="640" w:firstLineChars="200"/>
        <w:rPr>
          <w:rFonts w:hint="default" w:ascii="Times New Roman Regular" w:hAnsi="Times New Roman Regular" w:eastAsia="仿宋_GB2312" w:cs="Times New Roman Regular"/>
          <w:color w:val="auto"/>
          <w:kern w:val="2"/>
          <w:sz w:val="32"/>
          <w:szCs w:val="32"/>
          <w:lang w:val="en-US" w:eastAsia="zh-CN"/>
        </w:rPr>
      </w:pPr>
      <w:r>
        <w:rPr>
          <w:rFonts w:hint="eastAsia" w:ascii="Times New Roman Regular" w:hAnsi="Times New Roman Regular" w:eastAsia="仿宋_GB2312" w:cs="Times New Roman Regular"/>
          <w:color w:val="auto"/>
          <w:kern w:val="2"/>
          <w:sz w:val="32"/>
          <w:szCs w:val="32"/>
          <w:lang w:val="en-US" w:eastAsia="zh-CN"/>
        </w:rPr>
        <w:t>项目直接经济成本43.96万元，保障了纪检监察</w:t>
      </w:r>
      <w:r>
        <w:rPr>
          <w:rFonts w:hint="default" w:ascii="Times New Roman" w:hAnsi="Times New Roman" w:eastAsia="仿宋_GB2312" w:cs="Times New Roman"/>
          <w:sz w:val="32"/>
          <w:szCs w:val="32"/>
          <w:u w:val="none"/>
          <w:lang w:val="en-US" w:eastAsia="zh-CN"/>
        </w:rPr>
        <w:t>审查调查</w:t>
      </w:r>
      <w:r>
        <w:rPr>
          <w:rFonts w:hint="eastAsia" w:ascii="Times New Roman Regular" w:hAnsi="Times New Roman Regular" w:eastAsia="仿宋_GB2312" w:cs="Times New Roman Regular"/>
          <w:color w:val="auto"/>
          <w:kern w:val="2"/>
          <w:sz w:val="32"/>
          <w:szCs w:val="32"/>
          <w:lang w:val="en-US" w:eastAsia="zh-CN"/>
        </w:rPr>
        <w:t>工作的有序开展。</w:t>
      </w:r>
    </w:p>
    <w:p>
      <w:pPr>
        <w:pStyle w:val="39"/>
        <w:spacing w:line="560" w:lineRule="exact"/>
        <w:ind w:firstLine="640" w:firstLineChars="200"/>
        <w:rPr>
          <w:rFonts w:ascii="Times New Roman Regular" w:hAnsi="Times New Roman Regular" w:eastAsia="仿宋_GB2312" w:cs="Times New Roman Regular"/>
          <w:color w:val="auto"/>
          <w:kern w:val="2"/>
          <w:sz w:val="32"/>
          <w:szCs w:val="32"/>
          <w:lang w:val="en-US"/>
        </w:rPr>
      </w:pPr>
      <w:r>
        <w:rPr>
          <w:rFonts w:ascii="Times New Roman Regular" w:hAnsi="Times New Roman Regular" w:eastAsia="仿宋_GB2312" w:cs="Times New Roman Regular"/>
          <w:color w:val="auto"/>
          <w:kern w:val="2"/>
          <w:sz w:val="32"/>
          <w:szCs w:val="32"/>
          <w:lang w:val="en-US"/>
        </w:rPr>
        <w:t>7</w:t>
      </w:r>
      <w:r>
        <w:rPr>
          <w:rFonts w:hint="eastAsia" w:ascii="Times New Roman Regular" w:hAnsi="Times New Roman Regular" w:eastAsia="仿宋_GB2312" w:cs="Times New Roman Regular"/>
          <w:color w:val="auto"/>
          <w:kern w:val="2"/>
          <w:sz w:val="32"/>
          <w:szCs w:val="32"/>
          <w:lang w:val="en-US"/>
        </w:rPr>
        <w:t>.</w:t>
      </w:r>
      <w:r>
        <w:rPr>
          <w:rFonts w:ascii="Times New Roman Regular" w:hAnsi="Times New Roman Regular" w:eastAsia="仿宋_GB2312" w:cs="Times New Roman Regular"/>
          <w:color w:val="auto"/>
          <w:kern w:val="2"/>
          <w:sz w:val="32"/>
          <w:szCs w:val="32"/>
          <w:lang w:val="en-US"/>
        </w:rPr>
        <w:t>满意度指标分析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Regular" w:hAnsi="Times New Roman Regular" w:eastAsia="仿宋_GB2312" w:cs="Times New Roman Regular"/>
          <w:color w:val="auto"/>
          <w:kern w:val="2"/>
          <w:sz w:val="32"/>
          <w:szCs w:val="32"/>
          <w:lang w:val="en-US"/>
        </w:rPr>
      </w:pPr>
      <w:r>
        <w:rPr>
          <w:rStyle w:val="22"/>
          <w:rFonts w:hint="eastAsia" w:cs="Times New Roman"/>
          <w:b w:val="0"/>
          <w:bCs/>
          <w:sz w:val="32"/>
          <w:szCs w:val="32"/>
          <w:u w:val="none"/>
          <w:lang w:val="en-US" w:eastAsia="zh-CN"/>
        </w:rPr>
        <w:t>2023年，</w:t>
      </w:r>
      <w:r>
        <w:rPr>
          <w:rStyle w:val="22"/>
          <w:rFonts w:hint="default" w:ascii="Times New Roman" w:hAnsi="Times New Roman" w:eastAsia="仿宋_GB2312" w:cs="Times New Roman"/>
          <w:b w:val="0"/>
          <w:bCs/>
          <w:sz w:val="32"/>
          <w:szCs w:val="32"/>
          <w:u w:val="none"/>
          <w:lang w:val="en-US" w:eastAsia="zh-CN"/>
        </w:rPr>
        <w:t>全县纪检监察组织在新征程上忠实履职尽责，纵深推进正风肃纪反腐，以永远在路上的坚韧执着把党的自我革命进行到底</w:t>
      </w:r>
      <w:r>
        <w:rPr>
          <w:rStyle w:val="22"/>
          <w:rFonts w:hint="eastAsia" w:cs="Times New Roman"/>
          <w:b w:val="0"/>
          <w:bCs/>
          <w:sz w:val="32"/>
          <w:szCs w:val="32"/>
          <w:u w:val="none"/>
          <w:lang w:val="en-US" w:eastAsia="zh-CN"/>
        </w:rPr>
        <w:t>，满意度100%。</w:t>
      </w:r>
    </w:p>
    <w:p>
      <w:pPr>
        <w:pStyle w:val="39"/>
        <w:numPr>
          <w:ilvl w:val="0"/>
          <w:numId w:val="13"/>
        </w:numPr>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存在主要问题</w:t>
      </w:r>
    </w:p>
    <w:p>
      <w:pPr>
        <w:pStyle w:val="39"/>
        <w:numPr>
          <w:ilvl w:val="0"/>
          <w:numId w:val="0"/>
        </w:numPr>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hint="eastAsia" w:ascii="Times New Roman" w:hAnsi="Times New Roman" w:eastAsia="仿宋_GB2312" w:cs="Times New Roman"/>
          <w:sz w:val="32"/>
          <w:szCs w:val="32"/>
          <w:u w:val="none"/>
          <w:lang w:val="en-US" w:eastAsia="zh-CN"/>
        </w:rPr>
        <w:t>监督质效还不高。开展日常监督浮于表面，“招数”不多，</w:t>
      </w:r>
      <w:r>
        <w:rPr>
          <w:rFonts w:hint="default" w:ascii="Times New Roman" w:hAnsi="Times New Roman" w:eastAsia="仿宋_GB2312" w:cs="Times New Roman"/>
          <w:sz w:val="32"/>
          <w:szCs w:val="32"/>
          <w:u w:val="none"/>
          <w:lang w:val="en-US" w:eastAsia="zh-CN"/>
        </w:rPr>
        <w:t>存在协作机制运行不畅、流程不优，交叉检查少，</w:t>
      </w:r>
      <w:r>
        <w:rPr>
          <w:rFonts w:hint="eastAsia" w:ascii="Times New Roman" w:hAnsi="Times New Roman" w:eastAsia="仿宋_GB2312" w:cs="Times New Roman"/>
          <w:sz w:val="32"/>
          <w:szCs w:val="32"/>
          <w:u w:val="none"/>
          <w:lang w:val="en-US" w:eastAsia="zh-CN"/>
        </w:rPr>
        <w:t>自主发现问题线索较少</w:t>
      </w:r>
      <w:r>
        <w:rPr>
          <w:rFonts w:hint="default" w:ascii="Times New Roman" w:hAnsi="Times New Roman" w:eastAsia="仿宋_GB2312" w:cs="Times New Roman"/>
          <w:sz w:val="32"/>
          <w:szCs w:val="32"/>
          <w:u w:val="none"/>
          <w:lang w:val="en-US" w:eastAsia="zh-CN"/>
        </w:rPr>
        <w:t>等问题</w:t>
      </w:r>
      <w:r>
        <w:rPr>
          <w:rFonts w:hint="eastAsia" w:ascii="Times New Roman" w:hAnsi="Times New Roman" w:eastAsia="仿宋_GB2312" w:cs="Times New Roman"/>
          <w:sz w:val="32"/>
          <w:szCs w:val="32"/>
          <w:u w:val="none"/>
          <w:lang w:val="en-US" w:eastAsia="zh-CN"/>
        </w:rPr>
        <w:t>。</w:t>
      </w:r>
    </w:p>
    <w:p>
      <w:pPr>
        <w:pStyle w:val="39"/>
        <w:numPr>
          <w:ilvl w:val="0"/>
          <w:numId w:val="0"/>
        </w:numPr>
        <w:spacing w:line="560" w:lineRule="exact"/>
        <w:ind w:firstLine="640" w:firstLineChars="200"/>
        <w:rPr>
          <w:rFonts w:ascii="Times New Roman Regular" w:hAnsi="Times New Roman Regular" w:eastAsia="黑体" w:cs="Times New Roman Regular"/>
          <w:color w:val="auto"/>
          <w:kern w:val="2"/>
          <w:sz w:val="32"/>
          <w:szCs w:val="32"/>
          <w:lang w:val="en-US"/>
        </w:rPr>
      </w:pPr>
      <w:r>
        <w:rPr>
          <w:rFonts w:ascii="Times New Roman Regular" w:hAnsi="Times New Roman Regular" w:eastAsia="黑体" w:cs="Times New Roman Regular"/>
          <w:color w:val="auto"/>
          <w:kern w:val="2"/>
          <w:sz w:val="32"/>
          <w:szCs w:val="32"/>
          <w:lang w:val="en-US"/>
        </w:rPr>
        <w:t>四、相关措施建议</w:t>
      </w:r>
    </w:p>
    <w:p>
      <w:pPr>
        <w:pStyle w:val="39"/>
        <w:spacing w:line="560" w:lineRule="exact"/>
        <w:ind w:firstLine="640" w:firstLineChars="200"/>
        <w:rPr>
          <w:rStyle w:val="22"/>
          <w:rFonts w:hint="eastAsia" w:ascii="Times New Roman" w:hAnsi="Times New Roman" w:eastAsia="仿宋_GB2312" w:cs="Times New Roman"/>
          <w:b w:val="0"/>
          <w:bCs/>
          <w:sz w:val="32"/>
          <w:szCs w:val="32"/>
          <w:u w:val="none"/>
          <w:lang w:val="en-US" w:eastAsia="zh-CN"/>
        </w:rPr>
      </w:pPr>
      <w:r>
        <w:rPr>
          <w:rStyle w:val="22"/>
          <w:rFonts w:hint="default" w:ascii="Times New Roman" w:hAnsi="Times New Roman" w:eastAsia="仿宋_GB2312" w:cs="Times New Roman"/>
          <w:b w:val="0"/>
          <w:bCs/>
          <w:sz w:val="32"/>
          <w:szCs w:val="32"/>
          <w:u w:val="none"/>
          <w:lang w:val="en-US" w:eastAsia="zh-CN"/>
        </w:rPr>
        <w:t>完善纪检监察工作体系。紧跟党和国家机构改革步伐，完善纪委监委机关内设机构设置、职能配置和力量配备，加强内部力量统筹，</w:t>
      </w:r>
      <w:r>
        <w:rPr>
          <w:rStyle w:val="22"/>
          <w:rFonts w:hint="eastAsia" w:ascii="Times New Roman" w:hAnsi="Times New Roman" w:eastAsia="仿宋_GB2312" w:cs="Times New Roman"/>
          <w:b w:val="0"/>
          <w:bCs/>
          <w:sz w:val="32"/>
          <w:szCs w:val="32"/>
          <w:u w:val="none"/>
          <w:lang w:val="en-US" w:eastAsia="zh-CN"/>
        </w:rPr>
        <w:t>将人员力量向监督执纪执法倾斜。健全干部监督机构。清理偏离主责主业的议事协调机构。</w:t>
      </w:r>
      <w:r>
        <w:rPr>
          <w:rStyle w:val="22"/>
          <w:rFonts w:hint="default" w:ascii="Times New Roman" w:hAnsi="Times New Roman" w:eastAsia="仿宋_GB2312" w:cs="Times New Roman"/>
          <w:b w:val="0"/>
          <w:bCs/>
          <w:sz w:val="32"/>
          <w:szCs w:val="32"/>
          <w:u w:val="none"/>
          <w:lang w:val="en-US" w:eastAsia="zh-CN"/>
        </w:rPr>
        <w:t>纵深推进派驻机构改革，优化综合派驻监督范围设置</w:t>
      </w:r>
      <w:r>
        <w:rPr>
          <w:rStyle w:val="22"/>
          <w:rFonts w:hint="eastAsia" w:ascii="Times New Roman" w:hAnsi="Times New Roman" w:eastAsia="仿宋_GB2312" w:cs="Times New Roman"/>
          <w:b w:val="0"/>
          <w:bCs/>
          <w:sz w:val="32"/>
          <w:szCs w:val="32"/>
          <w:u w:val="none"/>
          <w:lang w:val="en-US" w:eastAsia="zh-CN"/>
        </w:rPr>
        <w:t>。</w:t>
      </w:r>
      <w:r>
        <w:rPr>
          <w:rStyle w:val="22"/>
          <w:rFonts w:hint="default" w:ascii="Times New Roman" w:hAnsi="Times New Roman" w:eastAsia="仿宋_GB2312" w:cs="Times New Roman"/>
          <w:b w:val="0"/>
          <w:bCs/>
          <w:sz w:val="32"/>
          <w:szCs w:val="32"/>
          <w:u w:val="none"/>
          <w:lang w:val="en-US" w:eastAsia="zh-CN"/>
        </w:rPr>
        <w:t>完善“组组”协同监督，落实“室组”联动监督、“室组地”联合办案机制</w:t>
      </w:r>
      <w:r>
        <w:rPr>
          <w:rStyle w:val="22"/>
          <w:rFonts w:hint="eastAsia" w:ascii="Times New Roman" w:hAnsi="Times New Roman" w:eastAsia="仿宋_GB2312" w:cs="Times New Roman"/>
          <w:b w:val="0"/>
          <w:bCs/>
          <w:sz w:val="32"/>
          <w:szCs w:val="32"/>
          <w:u w:val="none"/>
          <w:lang w:val="en-US" w:eastAsia="zh-CN"/>
        </w:rPr>
        <w:t>。</w:t>
      </w:r>
    </w:p>
    <w:p>
      <w:pPr>
        <w:pStyle w:val="39"/>
        <w:spacing w:line="560" w:lineRule="exact"/>
        <w:ind w:firstLine="640" w:firstLineChars="200"/>
        <w:rPr>
          <w:rStyle w:val="22"/>
          <w:rFonts w:hint="eastAsia" w:ascii="Times New Roman" w:hAnsi="Times New Roman" w:eastAsia="仿宋_GB2312" w:cs="Times New Roman"/>
          <w:b w:val="0"/>
          <w:bCs/>
          <w:sz w:val="32"/>
          <w:szCs w:val="32"/>
          <w:u w:val="none"/>
          <w:lang w:val="en-US" w:eastAsia="zh-CN"/>
        </w:rPr>
      </w:pPr>
    </w:p>
    <w:p>
      <w:pPr>
        <w:pStyle w:val="2"/>
        <w:rPr>
          <w:rFonts w:hint="eastAsia"/>
        </w:rPr>
      </w:pPr>
    </w:p>
    <w:p>
      <w:pPr>
        <w:pStyle w:val="6"/>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Times New Roman Bold">
    <w:altName w:val="Times New Roman"/>
    <w:panose1 w:val="0202080307050502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3"/>
          <w:jc w:val="center"/>
        </w:pPr>
        <w:r>
          <w:fldChar w:fldCharType="begin"/>
        </w:r>
        <w:r>
          <w:instrText xml:space="preserve">PAGE   \* MERGEFORMAT</w:instrText>
        </w:r>
        <w:r>
          <w:fldChar w:fldCharType="separate"/>
        </w:r>
        <w:r>
          <w:rPr>
            <w:lang w:val="zh-CN"/>
          </w:rPr>
          <w:t>23</w:t>
        </w:r>
        <w: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3FF2000"/>
    <w:multiLevelType w:val="singleLevel"/>
    <w:tmpl w:val="D3FF2000"/>
    <w:lvl w:ilvl="0" w:tentative="0">
      <w:start w:val="3"/>
      <w:numFmt w:val="chineseCounting"/>
      <w:suff w:val="nothing"/>
      <w:lvlText w:val="%1、"/>
      <w:lvlJc w:val="left"/>
      <w:rPr>
        <w:rFonts w:hint="eastAsia"/>
      </w:rPr>
    </w:lvl>
  </w:abstractNum>
  <w:abstractNum w:abstractNumId="2">
    <w:nsid w:val="D6947ADE"/>
    <w:multiLevelType w:val="singleLevel"/>
    <w:tmpl w:val="D6947ADE"/>
    <w:lvl w:ilvl="0" w:tentative="0">
      <w:start w:val="5"/>
      <w:numFmt w:val="chineseCounting"/>
      <w:suff w:val="nothing"/>
      <w:lvlText w:val="（%1）"/>
      <w:lvlJc w:val="left"/>
      <w:rPr>
        <w:rFonts w:hint="eastAsia"/>
      </w:rPr>
    </w:lvl>
  </w:abstractNum>
  <w:abstractNum w:abstractNumId="3">
    <w:nsid w:val="042A88F1"/>
    <w:multiLevelType w:val="singleLevel"/>
    <w:tmpl w:val="042A88F1"/>
    <w:lvl w:ilvl="0" w:tentative="0">
      <w:start w:val="3"/>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CFA6A4"/>
    <w:multiLevelType w:val="singleLevel"/>
    <w:tmpl w:val="1BCFA6A4"/>
    <w:lvl w:ilvl="0" w:tentative="0">
      <w:start w:val="3"/>
      <w:numFmt w:val="chineseCounting"/>
      <w:suff w:val="nothing"/>
      <w:lvlText w:val="%1、"/>
      <w:lvlJc w:val="left"/>
      <w:rPr>
        <w:rFonts w:hint="eastAsia"/>
      </w:rPr>
    </w:lvl>
  </w:abstractNum>
  <w:abstractNum w:abstractNumId="6">
    <w:nsid w:val="28F56201"/>
    <w:multiLevelType w:val="singleLevel"/>
    <w:tmpl w:val="28F56201"/>
    <w:lvl w:ilvl="0" w:tentative="0">
      <w:start w:val="2"/>
      <w:numFmt w:val="chineseCounting"/>
      <w:suff w:val="nothing"/>
      <w:lvlText w:val="（%1）"/>
      <w:lvlJc w:val="left"/>
      <w:rPr>
        <w:rFonts w:hint="eastAsia"/>
      </w:rPr>
    </w:lvl>
  </w:abstractNum>
  <w:abstractNum w:abstractNumId="7">
    <w:nsid w:val="36C3FB14"/>
    <w:multiLevelType w:val="singleLevel"/>
    <w:tmpl w:val="36C3FB14"/>
    <w:lvl w:ilvl="0" w:tentative="0">
      <w:start w:val="2"/>
      <w:numFmt w:val="decimal"/>
      <w:lvlText w:val="%1."/>
      <w:lvlJc w:val="left"/>
      <w:pPr>
        <w:tabs>
          <w:tab w:val="left" w:pos="312"/>
        </w:tabs>
      </w:pPr>
    </w:lvl>
  </w:abstractNum>
  <w:abstractNum w:abstractNumId="8">
    <w:nsid w:val="4FDE6794"/>
    <w:multiLevelType w:val="singleLevel"/>
    <w:tmpl w:val="4FDE6794"/>
    <w:lvl w:ilvl="0" w:tentative="0">
      <w:start w:val="5"/>
      <w:numFmt w:val="chineseCounting"/>
      <w:suff w:val="nothing"/>
      <w:lvlText w:val="%1、"/>
      <w:lvlJc w:val="left"/>
      <w:rPr>
        <w:rFonts w:hint="eastAsia"/>
      </w:rPr>
    </w:lvl>
  </w:abstractNum>
  <w:abstractNum w:abstractNumId="9">
    <w:nsid w:val="665FBF50"/>
    <w:multiLevelType w:val="singleLevel"/>
    <w:tmpl w:val="665FBF50"/>
    <w:lvl w:ilvl="0" w:tentative="0">
      <w:start w:val="2"/>
      <w:numFmt w:val="decimal"/>
      <w:suff w:val="nothing"/>
      <w:lvlText w:val="%1."/>
      <w:lvlJc w:val="left"/>
    </w:lvl>
  </w:abstractNum>
  <w:abstractNum w:abstractNumId="10">
    <w:nsid w:val="69574611"/>
    <w:multiLevelType w:val="singleLevel"/>
    <w:tmpl w:val="69574611"/>
    <w:lvl w:ilvl="0" w:tentative="0">
      <w:start w:val="2"/>
      <w:numFmt w:val="chineseCounting"/>
      <w:suff w:val="nothing"/>
      <w:lvlText w:val="（%1）"/>
      <w:lvlJc w:val="left"/>
      <w:rPr>
        <w:rFonts w:hint="eastAsia"/>
      </w:rPr>
    </w:lvl>
  </w:abstractNum>
  <w:abstractNum w:abstractNumId="11">
    <w:nsid w:val="6F3C6B68"/>
    <w:multiLevelType w:val="singleLevel"/>
    <w:tmpl w:val="6F3C6B68"/>
    <w:lvl w:ilvl="0" w:tentative="0">
      <w:start w:val="3"/>
      <w:numFmt w:val="chineseCounting"/>
      <w:suff w:val="nothing"/>
      <w:lvlText w:val="%1、"/>
      <w:lvlJc w:val="left"/>
      <w:rPr>
        <w:rFonts w:hint="eastAsia"/>
      </w:rPr>
    </w:lvl>
  </w:abstractNum>
  <w:abstractNum w:abstractNumId="12">
    <w:nsid w:val="79DED7D3"/>
    <w:multiLevelType w:val="singleLevel"/>
    <w:tmpl w:val="79DED7D3"/>
    <w:lvl w:ilvl="0" w:tentative="0">
      <w:start w:val="2"/>
      <w:numFmt w:val="chineseCounting"/>
      <w:suff w:val="nothing"/>
      <w:lvlText w:val="（%1）"/>
      <w:lvlJc w:val="left"/>
      <w:rPr>
        <w:rFonts w:hint="eastAsia"/>
      </w:rPr>
    </w:lvl>
  </w:abstractNum>
  <w:num w:numId="1">
    <w:abstractNumId w:val="7"/>
  </w:num>
  <w:num w:numId="2">
    <w:abstractNumId w:val="4"/>
  </w:num>
  <w:num w:numId="3">
    <w:abstractNumId w:val="0"/>
  </w:num>
  <w:num w:numId="4">
    <w:abstractNumId w:val="10"/>
  </w:num>
  <w:num w:numId="5">
    <w:abstractNumId w:val="9"/>
  </w:num>
  <w:num w:numId="6">
    <w:abstractNumId w:val="2"/>
  </w:num>
  <w:num w:numId="7">
    <w:abstractNumId w:val="8"/>
  </w:num>
  <w:num w:numId="8">
    <w:abstractNumId w:val="1"/>
  </w:num>
  <w:num w:numId="9">
    <w:abstractNumId w:val="12"/>
  </w:num>
  <w:num w:numId="10">
    <w:abstractNumId w:val="5"/>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1C83577"/>
    <w:rsid w:val="02F14134"/>
    <w:rsid w:val="02FEBE30"/>
    <w:rsid w:val="036F8141"/>
    <w:rsid w:val="046674C3"/>
    <w:rsid w:val="05BD65A1"/>
    <w:rsid w:val="066E0107"/>
    <w:rsid w:val="07996F6E"/>
    <w:rsid w:val="07DFD8BA"/>
    <w:rsid w:val="08CD77CB"/>
    <w:rsid w:val="0A2032A3"/>
    <w:rsid w:val="0C1907FF"/>
    <w:rsid w:val="0D35B1ED"/>
    <w:rsid w:val="0E287F6C"/>
    <w:rsid w:val="0E7ED1F5"/>
    <w:rsid w:val="0F98263C"/>
    <w:rsid w:val="101860EC"/>
    <w:rsid w:val="10C055FF"/>
    <w:rsid w:val="10FE4E4C"/>
    <w:rsid w:val="1118252D"/>
    <w:rsid w:val="118107EC"/>
    <w:rsid w:val="13D50BC4"/>
    <w:rsid w:val="13F5616D"/>
    <w:rsid w:val="16BB723D"/>
    <w:rsid w:val="17F9714D"/>
    <w:rsid w:val="19085BAA"/>
    <w:rsid w:val="1918F934"/>
    <w:rsid w:val="1B886472"/>
    <w:rsid w:val="1B9B0D3C"/>
    <w:rsid w:val="1BE8440E"/>
    <w:rsid w:val="1D155CEE"/>
    <w:rsid w:val="1DFBC4B3"/>
    <w:rsid w:val="1E247656"/>
    <w:rsid w:val="1E740ACF"/>
    <w:rsid w:val="1F19C781"/>
    <w:rsid w:val="1F33FCE5"/>
    <w:rsid w:val="1F6F5EE5"/>
    <w:rsid w:val="1F7F7398"/>
    <w:rsid w:val="1FD2DB6F"/>
    <w:rsid w:val="1FF35744"/>
    <w:rsid w:val="1FF6BC77"/>
    <w:rsid w:val="1FF9236D"/>
    <w:rsid w:val="21F30A74"/>
    <w:rsid w:val="2333840E"/>
    <w:rsid w:val="23860B96"/>
    <w:rsid w:val="240371BF"/>
    <w:rsid w:val="24A97B47"/>
    <w:rsid w:val="257C638F"/>
    <w:rsid w:val="29FD04D3"/>
    <w:rsid w:val="2BFF7BC6"/>
    <w:rsid w:val="2C8A61B5"/>
    <w:rsid w:val="2CD59C95"/>
    <w:rsid w:val="2DF04E50"/>
    <w:rsid w:val="2EFD05E5"/>
    <w:rsid w:val="2F040D46"/>
    <w:rsid w:val="2F4F95CE"/>
    <w:rsid w:val="2F642B63"/>
    <w:rsid w:val="2FACAFDD"/>
    <w:rsid w:val="2FAE5751"/>
    <w:rsid w:val="2FB1A395"/>
    <w:rsid w:val="2FCF0B76"/>
    <w:rsid w:val="2FD9A7D8"/>
    <w:rsid w:val="319F7F4E"/>
    <w:rsid w:val="31AF27F5"/>
    <w:rsid w:val="3304709D"/>
    <w:rsid w:val="334E572C"/>
    <w:rsid w:val="33CD381C"/>
    <w:rsid w:val="36AA5135"/>
    <w:rsid w:val="36BE0DA7"/>
    <w:rsid w:val="373271F5"/>
    <w:rsid w:val="376B6AA6"/>
    <w:rsid w:val="376D39B2"/>
    <w:rsid w:val="37E16F03"/>
    <w:rsid w:val="37F53A3B"/>
    <w:rsid w:val="385B072F"/>
    <w:rsid w:val="38BD0432"/>
    <w:rsid w:val="38D469F0"/>
    <w:rsid w:val="38F78389"/>
    <w:rsid w:val="397BAF1F"/>
    <w:rsid w:val="39E7B272"/>
    <w:rsid w:val="39F7642F"/>
    <w:rsid w:val="39FF7B37"/>
    <w:rsid w:val="3AB79AF3"/>
    <w:rsid w:val="3AFDCB77"/>
    <w:rsid w:val="3B7EF35A"/>
    <w:rsid w:val="3B9FDB6C"/>
    <w:rsid w:val="3BB07BF2"/>
    <w:rsid w:val="3BF5BC2F"/>
    <w:rsid w:val="3BF7C23A"/>
    <w:rsid w:val="3BFF223E"/>
    <w:rsid w:val="3C6EC0A1"/>
    <w:rsid w:val="3CDB0824"/>
    <w:rsid w:val="3CEBA265"/>
    <w:rsid w:val="3D6A7F9F"/>
    <w:rsid w:val="3D7E7F4D"/>
    <w:rsid w:val="3D98207C"/>
    <w:rsid w:val="3D9CF30A"/>
    <w:rsid w:val="3DFF5A3E"/>
    <w:rsid w:val="3E78745D"/>
    <w:rsid w:val="3EEE77E9"/>
    <w:rsid w:val="3F100A98"/>
    <w:rsid w:val="3F394AF5"/>
    <w:rsid w:val="3FBE5714"/>
    <w:rsid w:val="3FDD8615"/>
    <w:rsid w:val="3FDFB2FF"/>
    <w:rsid w:val="3FF4CAE0"/>
    <w:rsid w:val="3FF75FAF"/>
    <w:rsid w:val="3FF7B227"/>
    <w:rsid w:val="40EF6E6D"/>
    <w:rsid w:val="4398358C"/>
    <w:rsid w:val="44BC1159"/>
    <w:rsid w:val="44E268DA"/>
    <w:rsid w:val="457F4F6B"/>
    <w:rsid w:val="4737FB58"/>
    <w:rsid w:val="47ECCB02"/>
    <w:rsid w:val="47FA6A3F"/>
    <w:rsid w:val="49D7AE48"/>
    <w:rsid w:val="4A3F6C7E"/>
    <w:rsid w:val="4A627F82"/>
    <w:rsid w:val="4B0E749A"/>
    <w:rsid w:val="4B4C5584"/>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24A4C16"/>
    <w:rsid w:val="537E6D0A"/>
    <w:rsid w:val="53AB6B88"/>
    <w:rsid w:val="53F74C96"/>
    <w:rsid w:val="5583522D"/>
    <w:rsid w:val="57BD3DD4"/>
    <w:rsid w:val="57F9CD1E"/>
    <w:rsid w:val="595441EC"/>
    <w:rsid w:val="5AF92295"/>
    <w:rsid w:val="5AF9D8E9"/>
    <w:rsid w:val="5BDD38BD"/>
    <w:rsid w:val="5BDD79E6"/>
    <w:rsid w:val="5BEFC772"/>
    <w:rsid w:val="5BFF5DFC"/>
    <w:rsid w:val="5C1421C6"/>
    <w:rsid w:val="5C505DEA"/>
    <w:rsid w:val="5CD71FC4"/>
    <w:rsid w:val="5D1F11B5"/>
    <w:rsid w:val="5D3647F9"/>
    <w:rsid w:val="5DA644D4"/>
    <w:rsid w:val="5DAE1B18"/>
    <w:rsid w:val="5DE7D9E5"/>
    <w:rsid w:val="5ECEC941"/>
    <w:rsid w:val="5EFF8FC6"/>
    <w:rsid w:val="5F0B48A9"/>
    <w:rsid w:val="5F5BA39A"/>
    <w:rsid w:val="5F7D3B79"/>
    <w:rsid w:val="5F7F4610"/>
    <w:rsid w:val="5FBF9FF3"/>
    <w:rsid w:val="5FCD4E2C"/>
    <w:rsid w:val="5FEF394A"/>
    <w:rsid w:val="5FF67715"/>
    <w:rsid w:val="61CA71D5"/>
    <w:rsid w:val="61CE381E"/>
    <w:rsid w:val="627EE9EA"/>
    <w:rsid w:val="63B23AA5"/>
    <w:rsid w:val="647F5392"/>
    <w:rsid w:val="64E322C4"/>
    <w:rsid w:val="65FB93B9"/>
    <w:rsid w:val="6633C463"/>
    <w:rsid w:val="66F4027A"/>
    <w:rsid w:val="67D55B77"/>
    <w:rsid w:val="67EE7F84"/>
    <w:rsid w:val="686F5F53"/>
    <w:rsid w:val="69442522"/>
    <w:rsid w:val="6AFFCEAF"/>
    <w:rsid w:val="6B672124"/>
    <w:rsid w:val="6B8F42F2"/>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1AB8"/>
    <w:rsid w:val="6EE737B2"/>
    <w:rsid w:val="6EEB2329"/>
    <w:rsid w:val="6EECE67A"/>
    <w:rsid w:val="6F6F90A8"/>
    <w:rsid w:val="6F6FB3EB"/>
    <w:rsid w:val="6F8731EA"/>
    <w:rsid w:val="6FBC2ADD"/>
    <w:rsid w:val="6FD57C00"/>
    <w:rsid w:val="6FEFFFD8"/>
    <w:rsid w:val="6FF5CC65"/>
    <w:rsid w:val="6FFB47EC"/>
    <w:rsid w:val="6FFF034A"/>
    <w:rsid w:val="707D4630"/>
    <w:rsid w:val="712A28F1"/>
    <w:rsid w:val="715C0E4B"/>
    <w:rsid w:val="71FFD401"/>
    <w:rsid w:val="72233669"/>
    <w:rsid w:val="72734D90"/>
    <w:rsid w:val="7332FE48"/>
    <w:rsid w:val="73AD73D5"/>
    <w:rsid w:val="73B6EB34"/>
    <w:rsid w:val="73FA497D"/>
    <w:rsid w:val="744731E5"/>
    <w:rsid w:val="74BBD01D"/>
    <w:rsid w:val="74EC4CBD"/>
    <w:rsid w:val="74ED5379"/>
    <w:rsid w:val="75DEEEC2"/>
    <w:rsid w:val="767F479D"/>
    <w:rsid w:val="76E3355F"/>
    <w:rsid w:val="76F742AF"/>
    <w:rsid w:val="76F7BE7D"/>
    <w:rsid w:val="76FF5125"/>
    <w:rsid w:val="773570D3"/>
    <w:rsid w:val="77597F31"/>
    <w:rsid w:val="776F6FFA"/>
    <w:rsid w:val="7777A522"/>
    <w:rsid w:val="77858688"/>
    <w:rsid w:val="778769C8"/>
    <w:rsid w:val="779E6176"/>
    <w:rsid w:val="77CB741A"/>
    <w:rsid w:val="77D7BE3A"/>
    <w:rsid w:val="77DC22F5"/>
    <w:rsid w:val="781066B1"/>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A86B94"/>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3"/>
    <w:next w:val="1"/>
    <w:qFormat/>
    <w:uiPriority w:val="0"/>
    <w:pPr>
      <w:widowControl/>
    </w:pPr>
    <w:rPr>
      <w:szCs w:val="20"/>
    </w:rPr>
  </w:style>
  <w:style w:type="paragraph" w:customStyle="1" w:styleId="3">
    <w:name w:val="正文1"/>
    <w:next w:val="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
    <w:name w:val="正文首行缩进 21"/>
    <w:basedOn w:val="5"/>
    <w:qFormat/>
    <w:uiPriority w:val="0"/>
    <w:pPr>
      <w:ind w:firstLine="420"/>
    </w:pPr>
  </w:style>
  <w:style w:type="paragraph" w:customStyle="1" w:styleId="5">
    <w:name w:val="正文缩进1"/>
    <w:basedOn w:val="3"/>
    <w:qFormat/>
    <w:uiPriority w:val="0"/>
    <w:pPr>
      <w:ind w:left="420"/>
    </w:pPr>
  </w:style>
  <w:style w:type="paragraph" w:styleId="9">
    <w:name w:val="Body Text"/>
    <w:basedOn w:val="1"/>
    <w:link w:val="30"/>
    <w:qFormat/>
    <w:uiPriority w:val="99"/>
    <w:pPr>
      <w:spacing w:beforeLines="30"/>
    </w:pPr>
    <w:rPr>
      <w:rFonts w:ascii="仿宋_GB2312" w:eastAsia="仿宋_GB2312"/>
      <w:kern w:val="0"/>
      <w:sz w:val="30"/>
    </w:rPr>
  </w:style>
  <w:style w:type="paragraph" w:styleId="10">
    <w:name w:val="Body Text Indent"/>
    <w:basedOn w:val="1"/>
    <w:qFormat/>
    <w:uiPriority w:val="0"/>
    <w:pPr>
      <w:spacing w:after="120"/>
      <w:ind w:left="200" w:leftChars="200"/>
    </w:pPr>
    <w:rPr>
      <w:rFonts w:ascii="仿宋_GB2312"/>
      <w:szCs w:val="32"/>
    </w:rPr>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6"/>
    <w:semiHidden/>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0"/>
    <w:unhideWhenUsed/>
    <w:qFormat/>
    <w:uiPriority w:val="99"/>
    <w:pPr>
      <w:ind w:firstLine="420" w:firstLineChars="200"/>
    </w:p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21"/>
    <w:semiHidden/>
    <w:qFormat/>
    <w:uiPriority w:val="99"/>
    <w:rPr>
      <w:rFonts w:ascii="Times New Roman" w:hAnsi="Times New Roman"/>
      <w:sz w:val="18"/>
      <w:szCs w:val="18"/>
    </w:rPr>
  </w:style>
  <w:style w:type="character" w:customStyle="1" w:styleId="26">
    <w:name w:val="页眉 字符"/>
    <w:link w:val="14"/>
    <w:semiHidden/>
    <w:qFormat/>
    <w:locked/>
    <w:uiPriority w:val="99"/>
    <w:rPr>
      <w:sz w:val="18"/>
    </w:rPr>
  </w:style>
  <w:style w:type="character" w:customStyle="1" w:styleId="27">
    <w:name w:val="Footer Char"/>
    <w:basedOn w:val="21"/>
    <w:semiHidden/>
    <w:qFormat/>
    <w:uiPriority w:val="99"/>
    <w:rPr>
      <w:rFonts w:ascii="Times New Roman" w:hAnsi="Times New Roman"/>
      <w:sz w:val="18"/>
      <w:szCs w:val="18"/>
    </w:rPr>
  </w:style>
  <w:style w:type="character" w:customStyle="1" w:styleId="28">
    <w:name w:val="页脚 字符"/>
    <w:link w:val="13"/>
    <w:qFormat/>
    <w:locked/>
    <w:uiPriority w:val="99"/>
    <w:rPr>
      <w:sz w:val="18"/>
    </w:rPr>
  </w:style>
  <w:style w:type="character" w:customStyle="1" w:styleId="29">
    <w:name w:val="Body Text Char"/>
    <w:basedOn w:val="21"/>
    <w:semiHidden/>
    <w:qFormat/>
    <w:uiPriority w:val="99"/>
    <w:rPr>
      <w:rFonts w:ascii="Times New Roman" w:hAnsi="Times New Roman"/>
      <w:szCs w:val="24"/>
    </w:rPr>
  </w:style>
  <w:style w:type="character" w:customStyle="1" w:styleId="30">
    <w:name w:val="正文文本 字符"/>
    <w:link w:val="9"/>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字符"/>
    <w:basedOn w:val="21"/>
    <w:link w:val="6"/>
    <w:qFormat/>
    <w:uiPriority w:val="9"/>
    <w:rPr>
      <w:rFonts w:ascii="Times New Roman" w:hAnsi="Times New Roman"/>
      <w:b/>
      <w:bCs/>
      <w:kern w:val="44"/>
      <w:sz w:val="44"/>
      <w:szCs w:val="44"/>
    </w:rPr>
  </w:style>
  <w:style w:type="character" w:customStyle="1" w:styleId="34">
    <w:name w:val="标题 2 字符"/>
    <w:basedOn w:val="21"/>
    <w:link w:val="7"/>
    <w:qFormat/>
    <w:uiPriority w:val="9"/>
    <w:rPr>
      <w:rFonts w:asciiTheme="majorHAnsi" w:hAnsiTheme="majorHAnsi" w:eastAsiaTheme="majorEastAsia" w:cstheme="majorBidi"/>
      <w:b/>
      <w:bCs/>
      <w:kern w:val="2"/>
      <w:sz w:val="32"/>
      <w:szCs w:val="32"/>
    </w:rPr>
  </w:style>
  <w:style w:type="paragraph" w:customStyle="1" w:styleId="35">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字符"/>
    <w:basedOn w:val="21"/>
    <w:link w:val="12"/>
    <w:semiHidden/>
    <w:qFormat/>
    <w:uiPriority w:val="99"/>
    <w:rPr>
      <w:rFonts w:ascii="Times New Roman" w:hAnsi="Times New Roman"/>
      <w:kern w:val="2"/>
      <w:sz w:val="18"/>
      <w:szCs w:val="18"/>
    </w:rPr>
  </w:style>
  <w:style w:type="character" w:customStyle="1" w:styleId="37">
    <w:name w:val="标题 3 字符"/>
    <w:basedOn w:val="21"/>
    <w:link w:val="8"/>
    <w:qFormat/>
    <w:uiPriority w:val="9"/>
    <w:rPr>
      <w:rFonts w:ascii="Times New Roman" w:hAnsi="Times New Roman"/>
      <w:b/>
      <w:bCs/>
      <w:kern w:val="2"/>
      <w:sz w:val="32"/>
      <w:szCs w:val="32"/>
    </w:rPr>
  </w:style>
  <w:style w:type="paragraph" w:customStyle="1" w:styleId="38">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微软雅黑" w:hAnsi="微软雅黑" w:eastAsia="微软雅黑" w:cs="微软雅黑"/>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2022</a:t>
            </a:r>
            <a:r>
              <a:rPr altLang="en-US"/>
              <a:t>年、</a:t>
            </a:r>
            <a:r>
              <a:rPr lang="en-US" altLang="zh-CN"/>
              <a:t>2023</a:t>
            </a:r>
            <a:r>
              <a:rPr altLang="en-US"/>
              <a:t>年收入支出决算图</a:t>
            </a:r>
            <a:endParaRPr altLang="en-US"/>
          </a:p>
        </c:rich>
      </c:tx>
      <c:layout/>
      <c:overlay val="0"/>
    </c:title>
    <c:autoTitleDeleted val="0"/>
    <c:plotArea>
      <c:layout/>
      <c:barChart>
        <c:barDir val="col"/>
        <c:grouping val="clustered"/>
        <c:varyColors val="0"/>
        <c:ser>
          <c:idx val="0"/>
          <c:order val="0"/>
          <c:tx>
            <c:strRef>
              <c:f>单位：万元</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Sheet1!$L$34:$L$35</c:f>
              <c:strCache>
                <c:ptCount val="2"/>
                <c:pt idx="0">
                  <c:v>2022年收入、支出决算数</c:v>
                </c:pt>
                <c:pt idx="1">
                  <c:v>2023年收入、支出决算数</c:v>
                </c:pt>
              </c:strCache>
            </c:strRef>
          </c:cat>
          <c:val>
            <c:numRef>
              <c:f>Sheet1!$M$34:$M$35</c:f>
              <c:numCache>
                <c:formatCode>General</c:formatCode>
                <c:ptCount val="2"/>
                <c:pt idx="0">
                  <c:v>1662.25</c:v>
                </c:pt>
                <c:pt idx="1">
                  <c:v>1778.12</c:v>
                </c:pt>
              </c:numCache>
            </c:numRef>
          </c:val>
        </c:ser>
        <c:dLbls>
          <c:showLegendKey val="0"/>
          <c:showVal val="1"/>
          <c:showCatName val="0"/>
          <c:showSerName val="0"/>
          <c:showPercent val="0"/>
          <c:showBubbleSize val="0"/>
        </c:dLbls>
        <c:gapWidth val="150"/>
        <c:axId val="109894656"/>
        <c:axId val="109918464"/>
      </c:barChart>
      <c:catAx>
        <c:axId val="109894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auto val="1"/>
        <c:lblAlgn val="ctr"/>
        <c:lblOffset val="100"/>
        <c:noMultiLvlLbl val="0"/>
      </c:catAx>
      <c:valAx>
        <c:axId val="109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9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a:t>
            </a:r>
            <a:r>
              <a:t>一般公共预算财政拨款收入  </a:t>
            </a:r>
            <a:r>
              <a:rPr sz="900"/>
              <a:t>单位：万元</a:t>
            </a:r>
            <a:endParaRPr sz="900"/>
          </a:p>
        </c:rich>
      </c:tx>
      <c:layout/>
      <c:overlay val="0"/>
      <c:spPr>
        <a:noFill/>
        <a:ln>
          <a:noFill/>
        </a:ln>
        <a:effectLst/>
      </c:spPr>
    </c:title>
    <c:autoTitleDeleted val="0"/>
    <c:plotArea>
      <c:layout/>
      <c:pieChart>
        <c:varyColors val="1"/>
        <c:ser>
          <c:idx val="0"/>
          <c:order val="0"/>
          <c:tx>
            <c:strRef>
              <c:f>[工作簿1]Sheet2!$A$1</c:f>
              <c:strCache>
                <c:ptCount val="1"/>
                <c:pt idx="0">
                  <c:v>一般公共预算财政拨款收入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[工作簿1]Sheet2!$B$1</c:f>
              <c:numCache>
                <c:formatCode>General</c:formatCode>
                <c:ptCount val="1"/>
                <c:pt idx="0">
                  <c:v>1778.12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年度支出    </a:t>
            </a:r>
            <a:r>
              <a:rPr altLang="en-US" sz="900"/>
              <a:t> 单位：万元</a:t>
            </a:r>
            <a:endParaRPr altLang="en-US" sz="9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[工作簿1]Sheet3!$A$1:$A$2</c:f>
              <c:strCache>
                <c:ptCount val="2"/>
                <c:pt idx="0">
                  <c:v>基本支出</c:v>
                </c:pt>
                <c:pt idx="1">
                  <c:v>项目支出</c:v>
                </c:pt>
              </c:strCache>
            </c:strRef>
          </c:cat>
          <c:val>
            <c:numRef>
              <c:f>[工作簿1]Sheet3!$B$1:$B$2</c:f>
              <c:numCache>
                <c:formatCode>General</c:formatCode>
                <c:ptCount val="2"/>
                <c:pt idx="0">
                  <c:v>1538.52</c:v>
                </c:pt>
                <c:pt idx="1">
                  <c:v>239.6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sz="1400" b="0"/>
              <a:t>2022</a:t>
            </a:r>
            <a:r>
              <a:rPr altLang="en-US" sz="1400" b="0"/>
              <a:t>年与</a:t>
            </a:r>
            <a:r>
              <a:rPr lang="en-US" altLang="zh-CN" sz="1400" b="0"/>
              <a:t>2023</a:t>
            </a:r>
            <a:r>
              <a:rPr altLang="en-US" sz="1400" b="0"/>
              <a:t>年财政拨款收入、支出对比</a:t>
            </a:r>
            <a:endParaRPr altLang="en-US" sz="1400" b="0"/>
          </a:p>
        </c:rich>
      </c:tx>
      <c:layout/>
      <c:overlay val="0"/>
    </c:title>
    <c:autoTitleDeleted val="0"/>
    <c:plotArea>
      <c:layout/>
      <c:barChart>
        <c:barDir val="col"/>
        <c:grouping val="clustered"/>
        <c:varyColors val="0"/>
        <c:ser>
          <c:idx val="0"/>
          <c:order val="0"/>
          <c:tx>
            <c:strRef>
              <c:f>单位：万元</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Sheet1!$L$34:$L$35</c:f>
              <c:strCache>
                <c:ptCount val="2"/>
                <c:pt idx="0">
                  <c:v>2022年收入、支出决算数</c:v>
                </c:pt>
                <c:pt idx="1">
                  <c:v>2023年收入、支出决算数</c:v>
                </c:pt>
              </c:strCache>
            </c:strRef>
          </c:cat>
          <c:val>
            <c:numRef>
              <c:f>Sheet1!$M$34:$M$35</c:f>
              <c:numCache>
                <c:formatCode>General</c:formatCode>
                <c:ptCount val="2"/>
                <c:pt idx="0">
                  <c:v>1662.25</c:v>
                </c:pt>
                <c:pt idx="1">
                  <c:v>1778.12</c:v>
                </c:pt>
              </c:numCache>
            </c:numRef>
          </c:val>
        </c:ser>
        <c:dLbls>
          <c:showLegendKey val="0"/>
          <c:showVal val="1"/>
          <c:showCatName val="0"/>
          <c:showSerName val="0"/>
          <c:showPercent val="0"/>
          <c:showBubbleSize val="0"/>
        </c:dLbls>
        <c:gapWidth val="150"/>
        <c:axId val="109894656"/>
        <c:axId val="109918464"/>
      </c:barChart>
      <c:catAx>
        <c:axId val="109894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auto val="1"/>
        <c:lblAlgn val="ctr"/>
        <c:lblOffset val="100"/>
        <c:noMultiLvlLbl val="0"/>
      </c:catAx>
      <c:valAx>
        <c:axId val="109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9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单位：万元</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Sheet1!$L$34:$L$35</c:f>
              <c:strCache>
                <c:ptCount val="2"/>
                <c:pt idx="0">
                  <c:v>2022年收入、支出决算数</c:v>
                </c:pt>
                <c:pt idx="1">
                  <c:v>2023年收入、支出决算数</c:v>
                </c:pt>
              </c:strCache>
            </c:strRef>
          </c:cat>
          <c:val>
            <c:numRef>
              <c:f>Sheet1!$M$34:$M$35</c:f>
              <c:numCache>
                <c:formatCode>General</c:formatCode>
                <c:ptCount val="2"/>
                <c:pt idx="0">
                  <c:v>1662.25</c:v>
                </c:pt>
                <c:pt idx="1">
                  <c:v>1778.12</c:v>
                </c:pt>
              </c:numCache>
            </c:numRef>
          </c:val>
        </c:ser>
        <c:dLbls>
          <c:showLegendKey val="0"/>
          <c:showVal val="1"/>
          <c:showCatName val="0"/>
          <c:showSerName val="0"/>
          <c:showPercent val="0"/>
          <c:showBubbleSize val="0"/>
        </c:dLbls>
        <c:gapWidth val="150"/>
        <c:axId val="109894656"/>
        <c:axId val="109918464"/>
      </c:barChart>
      <c:catAx>
        <c:axId val="109894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auto val="1"/>
        <c:lblAlgn val="ctr"/>
        <c:lblOffset val="100"/>
        <c:noMultiLvlLbl val="0"/>
      </c:catAx>
      <c:valAx>
        <c:axId val="109918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894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[工作簿1]Sheet1!$A$1:$A$5</c:f>
              <c:strCache>
                <c:ptCount val="5"/>
                <c:pt idx="0">
                  <c:v>一般公共服务支出</c:v>
                </c:pt>
                <c:pt idx="1">
                  <c:v>社会保障和就业支出</c:v>
                </c:pt>
                <c:pt idx="2">
                  <c:v>卫生健康支出</c:v>
                </c:pt>
                <c:pt idx="3">
                  <c:v>农林水支出</c:v>
                </c:pt>
                <c:pt idx="4">
                  <c:v>住房保障支出</c:v>
                </c:pt>
              </c:strCache>
            </c:strRef>
          </c:cat>
          <c:val>
            <c:numRef>
              <c:f>[工作簿1]Sheet1!$B$1:$B$5</c:f>
              <c:numCache>
                <c:formatCode>General</c:formatCode>
                <c:ptCount val="5"/>
                <c:pt idx="0">
                  <c:v>1298.34</c:v>
                </c:pt>
                <c:pt idx="1">
                  <c:v>299.63</c:v>
                </c:pt>
                <c:pt idx="2">
                  <c:v>75.17</c:v>
                </c:pt>
                <c:pt idx="3">
                  <c:v>1.46</c:v>
                </c:pt>
                <c:pt idx="4">
                  <c:v>103.52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年度</a:t>
            </a:r>
            <a:r>
              <a:t>“三公”经费支出 </a:t>
            </a:r>
            <a:r>
              <a:rPr sz="1000"/>
              <a:t> 单位：万元</a:t>
            </a:r>
            <a:endParaRPr sz="1000"/>
          </a:p>
        </c:rich>
      </c:tx>
      <c:layout>
        <c:manualLayout>
          <c:xMode val="edge"/>
          <c:yMode val="edge"/>
          <c:x val="0.231111111111111"/>
          <c:y val="0.031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[工作簿1]Sheet5!$A$2:$A$4</c:f>
              <c:strCache>
                <c:ptCount val="3"/>
                <c:pt idx="0">
                  <c:v>因公出国（境）费</c:v>
                </c:pt>
                <c:pt idx="1">
                  <c:v> 公务用车购置及运行维护费</c:v>
                </c:pt>
                <c:pt idx="2">
                  <c:v> 公务接待费</c:v>
                </c:pt>
              </c:strCache>
            </c:strRef>
          </c:cat>
          <c:val>
            <c:numRef>
              <c:f>[工作簿1]Sheet5!$B$2:$B$4</c:f>
              <c:numCache>
                <c:formatCode>General</c:formatCode>
                <c:ptCount val="3"/>
                <c:pt idx="0">
                  <c:v>0</c:v>
                </c:pt>
                <c:pt idx="1" c:formatCode="#,##0.00">
                  <c:v>7.97</c:v>
                </c:pt>
                <c:pt idx="2" c:formatCode="#,##0.00">
                  <c:v>1.13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5</TotalTime>
  <ScaleCrop>false</ScaleCrop>
  <LinksUpToDate>false</LinksUpToDate>
  <CharactersWithSpaces>10266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2024-09-12T08:32:00Z</cp:lastPrinted>
  <dcterms:modified xsi:type="dcterms:W3CDTF">2024-09-19T09:35:58Z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