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96475"/>
      <w:bookmarkStart w:id="2" w:name="_Toc15377193"/>
      <w:bookmarkStart w:id="3" w:name="_Toc15378441"/>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8442"/>
      <w:bookmarkStart w:id="8" w:name="_Toc15396476"/>
      <w:bookmarkStart w:id="9" w:name="_Toc15377194"/>
      <w:bookmarkStart w:id="10" w:name="_Toc15306268"/>
      <w:bookmarkStart w:id="11" w:name="_Toc15377426"/>
      <w:r>
        <w:rPr>
          <w:rFonts w:hint="eastAsia" w:ascii="方正小标宋简体" w:hAnsi="方正小标宋简体" w:eastAsia="方正小标宋简体" w:cs="方正小标宋简体"/>
          <w:sz w:val="72"/>
          <w:szCs w:val="72"/>
        </w:rPr>
        <w:t>中国共产党雅</w:t>
      </w:r>
      <w:r>
        <w:rPr>
          <w:rFonts w:hint="eastAsia" w:ascii="方正小标宋简体" w:hAnsi="方正小标宋简体" w:eastAsia="方正小标宋简体" w:cs="方正小标宋简体"/>
          <w:sz w:val="72"/>
          <w:szCs w:val="72"/>
          <w:lang w:val="en-US" w:eastAsia="zh-CN"/>
        </w:rPr>
        <w:t>安</w:t>
      </w:r>
      <w:bookmarkStart w:id="77" w:name="_GoBack"/>
      <w:bookmarkEnd w:id="77"/>
      <w:r>
        <w:rPr>
          <w:rFonts w:hint="eastAsia" w:ascii="方正小标宋简体" w:hAnsi="方正小标宋简体" w:eastAsia="方正小标宋简体" w:cs="方正小标宋简体"/>
          <w:sz w:val="72"/>
          <w:szCs w:val="72"/>
        </w:rPr>
        <w:t>市雨城区纪律检查委员会部门决算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rPr>
          <w:rFonts w:ascii="仿宋_GB2312" w:eastAsia="仿宋_GB2312"/>
        </w:rPr>
      </w:pPr>
      <w:r>
        <w:rPr>
          <w:rFonts w:hint="eastAsia" w:ascii="仿宋_GB2312" w:eastAsia="仿宋_GB2312"/>
        </w:rPr>
        <w:t>公开时间：2023年9月26日</w:t>
      </w:r>
    </w:p>
    <w:p>
      <w:pPr>
        <w:jc w:val="center"/>
      </w:pPr>
    </w:p>
    <w:p>
      <w:pPr>
        <w:pStyle w:val="12"/>
        <w:adjustRightInd w:val="0"/>
        <w:snapToGrid w:val="0"/>
        <w:spacing w:before="0" w:line="600" w:lineRule="exact"/>
        <w:jc w:val="left"/>
        <w:rPr>
          <w:rFonts w:ascii="黑体" w:hAnsi="黑体" w:eastAsia="黑体" w:cstheme="minorBidi"/>
        </w:rPr>
      </w:pPr>
      <w:r>
        <w:rPr>
          <w:rFonts w:hint="eastAsia" w:ascii="黑体" w:hAnsi="黑体" w:eastAsia="黑体"/>
        </w:rPr>
        <w:t>第一部分</w:t>
      </w:r>
      <w:r>
        <w:rPr>
          <w:rFonts w:ascii="黑体" w:hAnsi="黑体" w:eastAsia="黑体"/>
        </w:rPr>
        <w:t xml:space="preserve"> </w:t>
      </w:r>
      <w:r>
        <w:rPr>
          <w:rFonts w:hint="eastAsia" w:ascii="黑体" w:hAnsi="黑体" w:eastAsia="黑体"/>
        </w:rPr>
        <w:t>部门概况</w:t>
      </w:r>
      <w:r>
        <w:rPr>
          <w:rFonts w:ascii="Times New Roman" w:hAnsi="Times New Roman"/>
        </w:rPr>
        <w:tab/>
      </w:r>
      <w:r>
        <w:rPr>
          <w:rFonts w:hint="eastAsia" w:ascii="Times New Roman" w:hAnsi="Times New Roman"/>
        </w:rPr>
        <w:t>4</w:t>
      </w:r>
    </w:p>
    <w:p>
      <w:pPr>
        <w:pStyle w:val="13"/>
        <w:adjustRightInd w:val="0"/>
        <w:snapToGrid w:val="0"/>
        <w:spacing w:line="600" w:lineRule="exact"/>
        <w:ind w:leftChars="0"/>
        <w:jc w:val="left"/>
        <w:rPr>
          <w:rFonts w:ascii="仿宋" w:hAnsi="仿宋" w:eastAsia="仿宋"/>
          <w:sz w:val="28"/>
          <w:szCs w:val="28"/>
        </w:rPr>
      </w:pPr>
      <w:r>
        <w:rPr>
          <w:rFonts w:hint="eastAsia" w:ascii="仿宋_GB2312" w:hAnsi="仿宋" w:eastAsia="仿宋_GB2312"/>
          <w:sz w:val="28"/>
        </w:rPr>
        <w:t>一、部门职责</w:t>
      </w:r>
      <w:r>
        <w:rPr>
          <w:rFonts w:hint="eastAsia"/>
          <w:sz w:val="28"/>
          <w:szCs w:val="28"/>
        </w:rPr>
        <w:tab/>
      </w:r>
      <w:r>
        <w:rPr>
          <w:rFonts w:hint="eastAsia"/>
          <w:sz w:val="28"/>
          <w:szCs w:val="28"/>
        </w:rPr>
        <w:t>4</w:t>
      </w:r>
    </w:p>
    <w:p>
      <w:pPr>
        <w:pStyle w:val="13"/>
        <w:adjustRightInd w:val="0"/>
        <w:snapToGrid w:val="0"/>
        <w:spacing w:line="600" w:lineRule="exact"/>
        <w:ind w:leftChars="0"/>
        <w:jc w:val="left"/>
        <w:rPr>
          <w:rFonts w:ascii="仿宋" w:hAnsi="仿宋" w:eastAsia="仿宋" w:cstheme="minorBidi"/>
          <w:sz w:val="28"/>
          <w:szCs w:val="28"/>
        </w:rPr>
      </w:pPr>
      <w:r>
        <w:rPr>
          <w:rFonts w:hint="eastAsia" w:ascii="仿宋_GB2312" w:hAnsi="仿宋" w:eastAsia="仿宋_GB2312"/>
          <w:sz w:val="28"/>
        </w:rPr>
        <w:t>二、机构设置</w:t>
      </w:r>
      <w:r>
        <w:rPr>
          <w:rFonts w:hint="eastAsia"/>
          <w:sz w:val="28"/>
          <w:szCs w:val="28"/>
        </w:rPr>
        <w:tab/>
      </w:r>
      <w:r>
        <w:rPr>
          <w:rFonts w:hint="eastAsia"/>
          <w:sz w:val="28"/>
          <w:szCs w:val="28"/>
        </w:rPr>
        <w:t>5</w:t>
      </w:r>
    </w:p>
    <w:p>
      <w:pPr>
        <w:pStyle w:val="12"/>
        <w:adjustRightInd w:val="0"/>
        <w:snapToGrid w:val="0"/>
        <w:spacing w:before="0" w:line="600" w:lineRule="exact"/>
        <w:jc w:val="left"/>
        <w:rPr>
          <w:rFonts w:ascii="黑体" w:hAnsi="黑体" w:eastAsia="黑体"/>
        </w:rPr>
      </w:pPr>
      <w:r>
        <w:rPr>
          <w:rFonts w:hint="eastAsia" w:ascii="黑体" w:hAnsi="黑体" w:eastAsia="黑体"/>
        </w:rPr>
        <w:t>第二部分 2022年度部门决算情况说明</w:t>
      </w:r>
      <w:r>
        <w:rPr>
          <w:rFonts w:ascii="Times New Roman" w:hAnsi="Times New Roman"/>
        </w:rPr>
        <w:tab/>
      </w:r>
      <w:r>
        <w:rPr>
          <w:rFonts w:hint="eastAsia" w:ascii="Times New Roman" w:hAnsi="Times New Roman"/>
        </w:rPr>
        <w:t>5</w:t>
      </w:r>
    </w:p>
    <w:p>
      <w:pPr>
        <w:pStyle w:val="13"/>
        <w:adjustRightInd w:val="0"/>
        <w:snapToGrid w:val="0"/>
        <w:spacing w:line="600" w:lineRule="exact"/>
        <w:ind w:leftChars="0"/>
        <w:jc w:val="left"/>
        <w:rPr>
          <w:rFonts w:ascii="仿宋" w:hAnsi="仿宋" w:eastAsia="仿宋" w:cstheme="minorBidi"/>
          <w:sz w:val="28"/>
          <w:szCs w:val="28"/>
        </w:rPr>
      </w:pPr>
      <w:r>
        <w:rPr>
          <w:rFonts w:hint="eastAsia" w:ascii="仿宋_GB2312" w:hAnsi="仿宋" w:eastAsia="仿宋_GB2312"/>
          <w:sz w:val="28"/>
        </w:rPr>
        <w:t>一、收入支出决算总体情况说明</w:t>
      </w:r>
      <w:r>
        <w:rPr>
          <w:rFonts w:hint="eastAsia"/>
          <w:sz w:val="28"/>
          <w:szCs w:val="28"/>
        </w:rPr>
        <w:tab/>
      </w:r>
      <w:r>
        <w:rPr>
          <w:rFonts w:hint="eastAsia"/>
          <w:sz w:val="28"/>
          <w:szCs w:val="28"/>
        </w:rPr>
        <w:t>5</w:t>
      </w:r>
    </w:p>
    <w:p>
      <w:pPr>
        <w:pStyle w:val="13"/>
        <w:adjustRightInd w:val="0"/>
        <w:snapToGrid w:val="0"/>
        <w:spacing w:line="600" w:lineRule="exact"/>
        <w:ind w:leftChars="0"/>
        <w:jc w:val="left"/>
        <w:rPr>
          <w:rFonts w:ascii="仿宋" w:hAnsi="仿宋" w:eastAsia="仿宋" w:cstheme="minorBidi"/>
          <w:sz w:val="28"/>
          <w:szCs w:val="28"/>
        </w:rPr>
      </w:pPr>
      <w:r>
        <w:rPr>
          <w:rFonts w:hint="eastAsia" w:ascii="仿宋_GB2312" w:hAnsi="仿宋" w:eastAsia="仿宋_GB2312"/>
          <w:sz w:val="28"/>
        </w:rPr>
        <w:t>二、收入决算情况说明</w:t>
      </w:r>
      <w:r>
        <w:rPr>
          <w:rFonts w:hint="eastAsia"/>
          <w:sz w:val="28"/>
          <w:szCs w:val="28"/>
        </w:rPr>
        <w:tab/>
      </w:r>
      <w:r>
        <w:rPr>
          <w:rFonts w:hint="eastAsia"/>
          <w:sz w:val="28"/>
          <w:szCs w:val="28"/>
        </w:rPr>
        <w:t>5</w:t>
      </w:r>
    </w:p>
    <w:p>
      <w:pPr>
        <w:pStyle w:val="13"/>
        <w:adjustRightInd w:val="0"/>
        <w:snapToGrid w:val="0"/>
        <w:spacing w:line="600" w:lineRule="exact"/>
        <w:ind w:leftChars="0"/>
        <w:jc w:val="left"/>
        <w:rPr>
          <w:rFonts w:ascii="仿宋" w:hAnsi="仿宋" w:eastAsia="仿宋" w:cstheme="minorBidi"/>
          <w:sz w:val="28"/>
          <w:szCs w:val="28"/>
        </w:rPr>
      </w:pPr>
      <w:r>
        <w:rPr>
          <w:rFonts w:hint="eastAsia" w:ascii="仿宋_GB2312" w:hAnsi="仿宋" w:eastAsia="仿宋_GB2312"/>
          <w:sz w:val="28"/>
        </w:rPr>
        <w:t>三、支出决算情况说明</w:t>
      </w:r>
      <w:r>
        <w:rPr>
          <w:rFonts w:hint="eastAsia"/>
          <w:sz w:val="28"/>
          <w:szCs w:val="28"/>
        </w:rPr>
        <w:tab/>
      </w:r>
      <w:r>
        <w:rPr>
          <w:rFonts w:hint="eastAsia"/>
          <w:sz w:val="28"/>
          <w:szCs w:val="28"/>
        </w:rPr>
        <w:t>5</w:t>
      </w:r>
    </w:p>
    <w:p>
      <w:pPr>
        <w:pStyle w:val="13"/>
        <w:adjustRightInd w:val="0"/>
        <w:snapToGrid w:val="0"/>
        <w:spacing w:line="600" w:lineRule="exact"/>
        <w:ind w:leftChars="0"/>
        <w:jc w:val="left"/>
        <w:rPr>
          <w:rFonts w:ascii="仿宋" w:hAnsi="仿宋" w:eastAsia="仿宋" w:cstheme="minorBidi"/>
          <w:sz w:val="28"/>
          <w:szCs w:val="28"/>
        </w:rPr>
      </w:pPr>
      <w:r>
        <w:rPr>
          <w:rFonts w:hint="eastAsia" w:ascii="仿宋_GB2312" w:hAnsi="仿宋" w:eastAsia="仿宋_GB2312"/>
          <w:sz w:val="28"/>
        </w:rPr>
        <w:t>四、财政拨款收入支出决算总体情况说明</w:t>
      </w:r>
      <w:r>
        <w:rPr>
          <w:rFonts w:hint="eastAsia"/>
          <w:sz w:val="28"/>
          <w:szCs w:val="28"/>
        </w:rPr>
        <w:tab/>
      </w:r>
      <w:r>
        <w:rPr>
          <w:rFonts w:hint="eastAsia"/>
          <w:sz w:val="28"/>
          <w:szCs w:val="28"/>
        </w:rPr>
        <w:t>5</w:t>
      </w:r>
    </w:p>
    <w:p>
      <w:pPr>
        <w:pStyle w:val="13"/>
        <w:adjustRightInd w:val="0"/>
        <w:snapToGrid w:val="0"/>
        <w:spacing w:line="600" w:lineRule="exact"/>
        <w:jc w:val="left"/>
        <w:rPr>
          <w:rFonts w:ascii="仿宋" w:hAnsi="仿宋" w:eastAsia="仿宋"/>
          <w:sz w:val="28"/>
        </w:rPr>
      </w:pPr>
      <w:r>
        <w:rPr>
          <w:rFonts w:hint="eastAsia" w:ascii="仿宋_GB2312" w:hAnsi="仿宋" w:eastAsia="仿宋_GB2312"/>
          <w:sz w:val="28"/>
        </w:rPr>
        <w:t>五、一般公共预算财政拨款支出决算情况说明</w:t>
      </w:r>
      <w:r>
        <w:rPr>
          <w:rFonts w:hint="eastAsia"/>
          <w:sz w:val="28"/>
          <w:szCs w:val="28"/>
        </w:rPr>
        <w:tab/>
      </w:r>
      <w:r>
        <w:rPr>
          <w:rFonts w:hint="eastAsia"/>
          <w:sz w:val="28"/>
          <w:szCs w:val="28"/>
        </w:rPr>
        <w:t>7</w:t>
      </w:r>
    </w:p>
    <w:p>
      <w:pPr>
        <w:pStyle w:val="13"/>
        <w:adjustRightInd w:val="0"/>
        <w:snapToGrid w:val="0"/>
        <w:spacing w:line="600" w:lineRule="exact"/>
        <w:jc w:val="left"/>
        <w:rPr>
          <w:rFonts w:ascii="仿宋" w:hAnsi="仿宋" w:eastAsia="仿宋"/>
          <w:sz w:val="28"/>
        </w:rPr>
      </w:pPr>
      <w:r>
        <w:rPr>
          <w:rFonts w:hint="eastAsia" w:ascii="仿宋_GB2312" w:hAnsi="仿宋" w:eastAsia="仿宋_GB2312"/>
          <w:sz w:val="28"/>
        </w:rPr>
        <w:t>六、一般公共预算财政拨款基本支出决算情况说明</w:t>
      </w:r>
      <w:r>
        <w:rPr>
          <w:rFonts w:hint="eastAsia"/>
          <w:sz w:val="28"/>
          <w:szCs w:val="28"/>
        </w:rPr>
        <w:tab/>
      </w:r>
      <w:r>
        <w:rPr>
          <w:rFonts w:hint="eastAsia"/>
          <w:sz w:val="28"/>
          <w:szCs w:val="28"/>
        </w:rPr>
        <w:t>10</w:t>
      </w:r>
    </w:p>
    <w:p>
      <w:pPr>
        <w:pStyle w:val="13"/>
        <w:adjustRightInd w:val="0"/>
        <w:snapToGrid w:val="0"/>
        <w:spacing w:line="600" w:lineRule="exact"/>
        <w:jc w:val="left"/>
        <w:rPr>
          <w:rFonts w:ascii="仿宋" w:hAnsi="仿宋" w:eastAsia="仿宋"/>
          <w:sz w:val="28"/>
        </w:rPr>
      </w:pPr>
      <w:r>
        <w:rPr>
          <w:rFonts w:hint="eastAsia" w:ascii="仿宋_GB2312" w:hAnsi="仿宋" w:eastAsia="仿宋_GB2312"/>
          <w:sz w:val="28"/>
        </w:rPr>
        <w:t>七、财政拨款“三公”经费支出决算情况说明</w:t>
      </w:r>
      <w:r>
        <w:rPr>
          <w:rFonts w:hint="eastAsia"/>
          <w:sz w:val="28"/>
          <w:szCs w:val="28"/>
        </w:rPr>
        <w:tab/>
      </w:r>
      <w:r>
        <w:rPr>
          <w:rFonts w:hint="eastAsia"/>
          <w:sz w:val="28"/>
          <w:szCs w:val="28"/>
        </w:rPr>
        <w:t>10</w:t>
      </w:r>
    </w:p>
    <w:p>
      <w:pPr>
        <w:pStyle w:val="13"/>
        <w:adjustRightInd w:val="0"/>
        <w:snapToGrid w:val="0"/>
        <w:spacing w:line="600" w:lineRule="exact"/>
        <w:jc w:val="left"/>
        <w:rPr>
          <w:rFonts w:ascii="仿宋" w:hAnsi="仿宋" w:eastAsia="仿宋"/>
          <w:sz w:val="28"/>
        </w:rPr>
      </w:pPr>
      <w:r>
        <w:rPr>
          <w:rFonts w:hint="eastAsia" w:ascii="仿宋_GB2312" w:hAnsi="仿宋" w:eastAsia="仿宋_GB2312"/>
          <w:sz w:val="28"/>
        </w:rPr>
        <w:t>八、政府性基金预算支出决算情况说明</w:t>
      </w:r>
      <w:r>
        <w:rPr>
          <w:rFonts w:hint="eastAsia"/>
          <w:sz w:val="28"/>
          <w:szCs w:val="28"/>
        </w:rPr>
        <w:tab/>
      </w:r>
      <w:r>
        <w:rPr>
          <w:rFonts w:hint="eastAsia"/>
          <w:sz w:val="28"/>
          <w:szCs w:val="28"/>
        </w:rPr>
        <w:t>12</w:t>
      </w:r>
    </w:p>
    <w:p>
      <w:pPr>
        <w:pStyle w:val="13"/>
        <w:adjustRightInd w:val="0"/>
        <w:snapToGrid w:val="0"/>
        <w:spacing w:line="600" w:lineRule="exact"/>
        <w:jc w:val="left"/>
        <w:rPr>
          <w:rFonts w:ascii="仿宋" w:hAnsi="仿宋" w:eastAsia="仿宋"/>
          <w:sz w:val="28"/>
        </w:rPr>
      </w:pPr>
      <w:r>
        <w:rPr>
          <w:rFonts w:hint="eastAsia" w:ascii="仿宋_GB2312" w:hAnsi="仿宋" w:eastAsia="仿宋_GB2312"/>
          <w:sz w:val="28"/>
        </w:rPr>
        <w:t>九、国有资本经营预算支出决算情况说明</w:t>
      </w:r>
      <w:r>
        <w:rPr>
          <w:rFonts w:hint="eastAsia"/>
          <w:sz w:val="28"/>
          <w:szCs w:val="28"/>
        </w:rPr>
        <w:tab/>
      </w:r>
      <w:r>
        <w:rPr>
          <w:rFonts w:hint="eastAsia"/>
          <w:sz w:val="28"/>
          <w:szCs w:val="28"/>
        </w:rPr>
        <w:t>12</w:t>
      </w:r>
    </w:p>
    <w:p>
      <w:pPr>
        <w:pStyle w:val="13"/>
        <w:adjustRightInd w:val="0"/>
        <w:snapToGrid w:val="0"/>
        <w:spacing w:line="600" w:lineRule="exact"/>
        <w:jc w:val="left"/>
        <w:rPr>
          <w:rFonts w:ascii="仿宋" w:hAnsi="仿宋" w:eastAsia="仿宋"/>
          <w:sz w:val="28"/>
        </w:rPr>
      </w:pPr>
      <w:r>
        <w:rPr>
          <w:rFonts w:hint="eastAsia" w:ascii="仿宋_GB2312" w:hAnsi="仿宋" w:eastAsia="仿宋_GB2312"/>
          <w:sz w:val="28"/>
          <w:szCs w:val="28"/>
        </w:rPr>
        <w:t>十、其他重要事项的情况说明</w:t>
      </w:r>
      <w:r>
        <w:rPr>
          <w:sz w:val="28"/>
        </w:rPr>
        <w:tab/>
      </w:r>
      <w:r>
        <w:rPr>
          <w:sz w:val="28"/>
        </w:rPr>
        <w:t>1</w:t>
      </w:r>
      <w:r>
        <w:rPr>
          <w:rFonts w:hint="eastAsia"/>
          <w:sz w:val="28"/>
        </w:rPr>
        <w:t>2</w:t>
      </w:r>
    </w:p>
    <w:p>
      <w:pPr>
        <w:pStyle w:val="12"/>
        <w:adjustRightInd w:val="0"/>
        <w:snapToGrid w:val="0"/>
        <w:spacing w:before="0" w:line="600" w:lineRule="exact"/>
        <w:jc w:val="left"/>
        <w:rPr>
          <w:rFonts w:ascii="黑体" w:hAnsi="黑体" w:eastAsia="黑体" w:cstheme="minorBidi"/>
          <w:szCs w:val="24"/>
        </w:rPr>
      </w:pPr>
      <w:r>
        <w:rPr>
          <w:rFonts w:hint="eastAsia" w:ascii="黑体" w:hAnsi="黑体" w:eastAsia="黑体"/>
        </w:rPr>
        <w:t>第三部分</w:t>
      </w:r>
      <w:r>
        <w:rPr>
          <w:rFonts w:ascii="黑体" w:hAnsi="黑体" w:eastAsia="黑体"/>
        </w:rPr>
        <w:t xml:space="preserve"> </w:t>
      </w:r>
      <w:r>
        <w:rPr>
          <w:rFonts w:hint="eastAsia" w:ascii="黑体" w:hAnsi="黑体" w:eastAsia="黑体"/>
        </w:rPr>
        <w:t>名词解释</w:t>
      </w:r>
      <w:r>
        <w:rPr>
          <w:rFonts w:ascii="Times New Roman" w:hAnsi="Times New Roman"/>
        </w:rPr>
        <w:tab/>
      </w:r>
      <w:r>
        <w:rPr>
          <w:rFonts w:hint="eastAsia" w:ascii="Times New Roman" w:hAnsi="Times New Roman"/>
        </w:rPr>
        <w:t>16</w:t>
      </w:r>
    </w:p>
    <w:p>
      <w:pPr>
        <w:pStyle w:val="12"/>
        <w:adjustRightInd w:val="0"/>
        <w:snapToGrid w:val="0"/>
        <w:spacing w:before="0" w:line="600" w:lineRule="exact"/>
        <w:jc w:val="left"/>
        <w:rPr>
          <w:rFonts w:ascii="黑体" w:hAnsi="黑体" w:eastAsia="黑体" w:cstheme="minorBidi"/>
          <w:szCs w:val="24"/>
        </w:rPr>
      </w:pPr>
      <w:r>
        <w:rPr>
          <w:rFonts w:hint="eastAsia" w:ascii="黑体" w:hAnsi="黑体" w:eastAsia="黑体"/>
        </w:rPr>
        <w:t>第四部分</w:t>
      </w:r>
      <w:r>
        <w:rPr>
          <w:rFonts w:ascii="黑体" w:hAnsi="黑体" w:eastAsia="黑体"/>
        </w:rPr>
        <w:t xml:space="preserve"> </w:t>
      </w:r>
      <w:r>
        <w:rPr>
          <w:rFonts w:hint="eastAsia" w:ascii="黑体" w:hAnsi="黑体" w:eastAsia="黑体"/>
        </w:rPr>
        <w:t>附件</w:t>
      </w:r>
      <w:r>
        <w:rPr>
          <w:rFonts w:ascii="Times New Roman" w:hAnsi="Times New Roman"/>
        </w:rPr>
        <w:tab/>
      </w:r>
      <w:r>
        <w:rPr>
          <w:rFonts w:hint="eastAsia" w:ascii="Times New Roman" w:hAnsi="Times New Roman"/>
        </w:rPr>
        <w:t>19</w:t>
      </w:r>
    </w:p>
    <w:p>
      <w:pPr>
        <w:pStyle w:val="12"/>
        <w:adjustRightInd w:val="0"/>
        <w:snapToGrid w:val="0"/>
        <w:spacing w:before="0" w:line="600" w:lineRule="exact"/>
        <w:jc w:val="left"/>
        <w:rPr>
          <w:rFonts w:ascii="黑体" w:hAnsi="黑体" w:eastAsia="黑体" w:cstheme="minorBidi"/>
          <w:szCs w:val="24"/>
        </w:rPr>
      </w:pPr>
      <w:r>
        <w:rPr>
          <w:rFonts w:hint="eastAsia" w:ascii="黑体" w:hAnsi="黑体" w:eastAsia="黑体"/>
        </w:rPr>
        <w:t>第五部分</w:t>
      </w:r>
      <w:r>
        <w:rPr>
          <w:rFonts w:ascii="黑体" w:hAnsi="黑体" w:eastAsia="黑体"/>
        </w:rPr>
        <w:t xml:space="preserve"> </w:t>
      </w:r>
      <w:r>
        <w:rPr>
          <w:rFonts w:hint="eastAsia" w:ascii="黑体" w:hAnsi="黑体" w:eastAsia="黑体"/>
        </w:rPr>
        <w:t>附表</w:t>
      </w:r>
      <w:r>
        <w:rPr>
          <w:rFonts w:ascii="Times New Roman" w:hAnsi="Times New Roman"/>
        </w:rPr>
        <w:tab/>
      </w:r>
      <w:r>
        <w:rPr>
          <w:rFonts w:hint="eastAsia" w:ascii="Times New Roman" w:hAnsi="Times New Roman"/>
        </w:rPr>
        <w:t>44</w:t>
      </w:r>
    </w:p>
    <w:p>
      <w:pPr>
        <w:pStyle w:val="13"/>
        <w:adjustRightInd w:val="0"/>
        <w:snapToGrid w:val="0"/>
        <w:spacing w:line="600" w:lineRule="exact"/>
        <w:jc w:val="left"/>
        <w:rPr>
          <w:rFonts w:ascii="仿宋" w:hAnsi="仿宋" w:eastAsia="仿宋"/>
          <w:sz w:val="28"/>
        </w:rPr>
      </w:pPr>
      <w:r>
        <w:rPr>
          <w:rFonts w:hint="eastAsia" w:ascii="仿宋_GB2312" w:hAnsi="仿宋" w:eastAsia="仿宋_GB2312"/>
          <w:sz w:val="28"/>
        </w:rPr>
        <w:t>一、收入支出决算总表</w:t>
      </w:r>
      <w:r>
        <w:rPr>
          <w:rFonts w:hint="eastAsia"/>
          <w:sz w:val="28"/>
          <w:szCs w:val="28"/>
        </w:rPr>
        <w:tab/>
      </w:r>
      <w:r>
        <w:rPr>
          <w:rFonts w:hint="eastAsia"/>
          <w:sz w:val="28"/>
          <w:szCs w:val="28"/>
        </w:rPr>
        <w:t>44</w:t>
      </w:r>
    </w:p>
    <w:p>
      <w:pPr>
        <w:pStyle w:val="13"/>
        <w:adjustRightInd w:val="0"/>
        <w:snapToGrid w:val="0"/>
        <w:spacing w:line="600" w:lineRule="exact"/>
        <w:jc w:val="left"/>
        <w:rPr>
          <w:rFonts w:ascii="仿宋" w:hAnsi="仿宋" w:eastAsia="仿宋"/>
          <w:sz w:val="28"/>
        </w:rPr>
      </w:pPr>
      <w:r>
        <w:rPr>
          <w:rFonts w:hint="eastAsia" w:ascii="仿宋_GB2312" w:hAnsi="仿宋" w:eastAsia="仿宋_GB2312"/>
          <w:sz w:val="28"/>
        </w:rPr>
        <w:t>二、收入决算表</w:t>
      </w:r>
      <w:r>
        <w:rPr>
          <w:rFonts w:hint="eastAsia"/>
          <w:sz w:val="28"/>
          <w:szCs w:val="28"/>
        </w:rPr>
        <w:tab/>
      </w:r>
      <w:r>
        <w:rPr>
          <w:rFonts w:hint="eastAsia"/>
          <w:sz w:val="28"/>
          <w:szCs w:val="28"/>
        </w:rPr>
        <w:t>44</w:t>
      </w:r>
    </w:p>
    <w:p>
      <w:pPr>
        <w:pStyle w:val="13"/>
        <w:adjustRightInd w:val="0"/>
        <w:snapToGrid w:val="0"/>
        <w:spacing w:line="600" w:lineRule="exact"/>
        <w:jc w:val="left"/>
        <w:rPr>
          <w:rFonts w:ascii="仿宋" w:hAnsi="仿宋" w:eastAsia="仿宋"/>
          <w:sz w:val="28"/>
        </w:rPr>
      </w:pPr>
      <w:r>
        <w:rPr>
          <w:rFonts w:hint="eastAsia" w:ascii="仿宋_GB2312" w:hAnsi="仿宋" w:eastAsia="仿宋_GB2312"/>
          <w:sz w:val="28"/>
        </w:rPr>
        <w:t>三、支出决算表</w:t>
      </w:r>
      <w:r>
        <w:rPr>
          <w:rFonts w:hint="eastAsia"/>
          <w:sz w:val="28"/>
          <w:szCs w:val="28"/>
        </w:rPr>
        <w:tab/>
      </w:r>
      <w:r>
        <w:rPr>
          <w:rFonts w:hint="eastAsia"/>
          <w:sz w:val="28"/>
          <w:szCs w:val="28"/>
        </w:rPr>
        <w:t>44</w:t>
      </w:r>
    </w:p>
    <w:p>
      <w:pPr>
        <w:pStyle w:val="13"/>
        <w:adjustRightInd w:val="0"/>
        <w:snapToGrid w:val="0"/>
        <w:spacing w:line="600" w:lineRule="exact"/>
        <w:jc w:val="left"/>
        <w:rPr>
          <w:rFonts w:ascii="仿宋" w:hAnsi="仿宋" w:eastAsia="仿宋"/>
          <w:sz w:val="28"/>
        </w:rPr>
      </w:pPr>
      <w:r>
        <w:rPr>
          <w:rFonts w:hint="eastAsia" w:ascii="仿宋_GB2312" w:hAnsi="仿宋" w:eastAsia="仿宋_GB2312"/>
          <w:sz w:val="28"/>
        </w:rPr>
        <w:t>四、财政拨款收入支出决算总表</w:t>
      </w:r>
      <w:r>
        <w:rPr>
          <w:rFonts w:hint="eastAsia"/>
          <w:sz w:val="28"/>
          <w:szCs w:val="28"/>
        </w:rPr>
        <w:tab/>
      </w:r>
      <w:r>
        <w:rPr>
          <w:rFonts w:hint="eastAsia"/>
          <w:sz w:val="28"/>
          <w:szCs w:val="28"/>
        </w:rPr>
        <w:t>44</w:t>
      </w:r>
    </w:p>
    <w:p>
      <w:pPr>
        <w:pStyle w:val="13"/>
        <w:adjustRightInd w:val="0"/>
        <w:snapToGrid w:val="0"/>
        <w:spacing w:line="600" w:lineRule="exact"/>
        <w:jc w:val="left"/>
        <w:rPr>
          <w:rFonts w:ascii="仿宋" w:hAnsi="仿宋" w:eastAsia="仿宋"/>
          <w:sz w:val="28"/>
        </w:rPr>
      </w:pPr>
      <w:r>
        <w:rPr>
          <w:rFonts w:hint="eastAsia" w:ascii="仿宋_GB2312" w:hAnsi="仿宋" w:eastAsia="仿宋_GB2312"/>
          <w:sz w:val="28"/>
        </w:rPr>
        <w:t>五、财政拨款支出决算明细表</w:t>
      </w:r>
      <w:r>
        <w:rPr>
          <w:rFonts w:hint="eastAsia"/>
          <w:sz w:val="28"/>
          <w:szCs w:val="28"/>
        </w:rPr>
        <w:tab/>
      </w:r>
      <w:r>
        <w:rPr>
          <w:rFonts w:hint="eastAsia"/>
          <w:sz w:val="28"/>
          <w:szCs w:val="28"/>
        </w:rPr>
        <w:t>44</w:t>
      </w:r>
    </w:p>
    <w:p>
      <w:pPr>
        <w:pStyle w:val="13"/>
        <w:adjustRightInd w:val="0"/>
        <w:snapToGrid w:val="0"/>
        <w:spacing w:line="600" w:lineRule="exact"/>
        <w:jc w:val="left"/>
        <w:rPr>
          <w:rFonts w:ascii="仿宋" w:hAnsi="仿宋" w:eastAsia="仿宋"/>
          <w:sz w:val="28"/>
        </w:rPr>
      </w:pPr>
      <w:r>
        <w:rPr>
          <w:rFonts w:hint="eastAsia" w:ascii="仿宋_GB2312" w:hAnsi="仿宋" w:eastAsia="仿宋_GB2312"/>
          <w:sz w:val="28"/>
        </w:rPr>
        <w:t>六、一般公共预算财政拨款支出决算表</w:t>
      </w:r>
      <w:r>
        <w:rPr>
          <w:rFonts w:hint="eastAsia"/>
          <w:sz w:val="28"/>
          <w:szCs w:val="28"/>
        </w:rPr>
        <w:tab/>
      </w:r>
      <w:r>
        <w:rPr>
          <w:rFonts w:hint="eastAsia"/>
          <w:sz w:val="28"/>
          <w:szCs w:val="28"/>
        </w:rPr>
        <w:t>44</w:t>
      </w:r>
    </w:p>
    <w:p>
      <w:pPr>
        <w:pStyle w:val="13"/>
        <w:adjustRightInd w:val="0"/>
        <w:snapToGrid w:val="0"/>
        <w:spacing w:line="600" w:lineRule="exact"/>
        <w:jc w:val="left"/>
        <w:rPr>
          <w:rFonts w:ascii="仿宋" w:hAnsi="仿宋" w:eastAsia="仿宋"/>
          <w:sz w:val="28"/>
        </w:rPr>
      </w:pPr>
      <w:r>
        <w:rPr>
          <w:rFonts w:hint="eastAsia" w:ascii="仿宋_GB2312" w:hAnsi="仿宋" w:eastAsia="仿宋_GB2312"/>
          <w:sz w:val="28"/>
        </w:rPr>
        <w:t>七、一般公共预算财政拨款支出决算明细表</w:t>
      </w:r>
      <w:r>
        <w:rPr>
          <w:rFonts w:hint="eastAsia"/>
          <w:sz w:val="28"/>
          <w:szCs w:val="28"/>
        </w:rPr>
        <w:tab/>
      </w:r>
      <w:r>
        <w:rPr>
          <w:rFonts w:hint="eastAsia"/>
          <w:sz w:val="28"/>
          <w:szCs w:val="28"/>
        </w:rPr>
        <w:t>44</w:t>
      </w:r>
    </w:p>
    <w:p>
      <w:pPr>
        <w:pStyle w:val="13"/>
        <w:adjustRightInd w:val="0"/>
        <w:snapToGrid w:val="0"/>
        <w:spacing w:line="600" w:lineRule="exact"/>
        <w:jc w:val="left"/>
        <w:rPr>
          <w:rFonts w:ascii="仿宋" w:hAnsi="仿宋" w:eastAsia="仿宋"/>
          <w:sz w:val="28"/>
        </w:rPr>
      </w:pPr>
      <w:r>
        <w:rPr>
          <w:rFonts w:hint="eastAsia" w:ascii="仿宋_GB2312" w:hAnsi="仿宋" w:eastAsia="仿宋_GB2312"/>
          <w:sz w:val="28"/>
        </w:rPr>
        <w:t>八、一般公共预算财政拨款基本支出决算明细表</w:t>
      </w:r>
      <w:r>
        <w:rPr>
          <w:rFonts w:hint="eastAsia"/>
          <w:sz w:val="28"/>
          <w:szCs w:val="28"/>
        </w:rPr>
        <w:tab/>
      </w:r>
      <w:r>
        <w:rPr>
          <w:rFonts w:hint="eastAsia"/>
          <w:sz w:val="28"/>
          <w:szCs w:val="28"/>
        </w:rPr>
        <w:t>44</w:t>
      </w:r>
    </w:p>
    <w:p>
      <w:pPr>
        <w:pStyle w:val="13"/>
        <w:adjustRightInd w:val="0"/>
        <w:snapToGrid w:val="0"/>
        <w:spacing w:line="600" w:lineRule="exact"/>
        <w:jc w:val="left"/>
        <w:rPr>
          <w:rFonts w:ascii="仿宋" w:hAnsi="仿宋" w:eastAsia="仿宋"/>
          <w:sz w:val="28"/>
        </w:rPr>
      </w:pPr>
      <w:r>
        <w:rPr>
          <w:rFonts w:hint="eastAsia" w:ascii="仿宋_GB2312" w:hAnsi="仿宋" w:eastAsia="仿宋_GB2312"/>
          <w:sz w:val="28"/>
        </w:rPr>
        <w:t>九、一般公共预算财政拨款项目支出决算表</w:t>
      </w:r>
      <w:r>
        <w:rPr>
          <w:rFonts w:hint="eastAsia"/>
          <w:sz w:val="28"/>
          <w:szCs w:val="28"/>
        </w:rPr>
        <w:tab/>
      </w:r>
      <w:r>
        <w:rPr>
          <w:rFonts w:hint="eastAsia"/>
          <w:sz w:val="28"/>
          <w:szCs w:val="28"/>
        </w:rPr>
        <w:t>44</w:t>
      </w:r>
    </w:p>
    <w:p>
      <w:pPr>
        <w:pStyle w:val="13"/>
        <w:adjustRightInd w:val="0"/>
        <w:snapToGrid w:val="0"/>
        <w:spacing w:line="600" w:lineRule="exact"/>
        <w:jc w:val="left"/>
        <w:rPr>
          <w:rFonts w:ascii="仿宋" w:hAnsi="仿宋" w:eastAsia="仿宋"/>
          <w:sz w:val="28"/>
        </w:rPr>
      </w:pPr>
      <w:r>
        <w:rPr>
          <w:rFonts w:hint="eastAsia" w:ascii="仿宋_GB2312" w:hAnsi="仿宋" w:eastAsia="仿宋_GB2312"/>
          <w:sz w:val="28"/>
        </w:rPr>
        <w:t>十、政府性基金预算财政拨款收入支出决算表</w:t>
      </w:r>
      <w:r>
        <w:rPr>
          <w:rFonts w:hint="eastAsia"/>
          <w:sz w:val="28"/>
          <w:szCs w:val="28"/>
        </w:rPr>
        <w:tab/>
      </w:r>
      <w:r>
        <w:rPr>
          <w:rFonts w:hint="eastAsia"/>
          <w:sz w:val="28"/>
          <w:szCs w:val="28"/>
        </w:rPr>
        <w:t>44</w:t>
      </w:r>
    </w:p>
    <w:p>
      <w:pPr>
        <w:pStyle w:val="13"/>
        <w:adjustRightInd w:val="0"/>
        <w:snapToGrid w:val="0"/>
        <w:spacing w:line="600" w:lineRule="exact"/>
        <w:jc w:val="left"/>
        <w:rPr>
          <w:rFonts w:ascii="仿宋" w:hAnsi="仿宋" w:eastAsia="仿宋"/>
          <w:sz w:val="28"/>
        </w:rPr>
      </w:pPr>
      <w:r>
        <w:rPr>
          <w:rFonts w:hint="eastAsia" w:ascii="仿宋_GB2312" w:hAnsi="仿宋" w:eastAsia="仿宋_GB2312"/>
          <w:sz w:val="28"/>
        </w:rPr>
        <w:t>十一、国有资本经营预算财政拨款收入支出决算表</w:t>
      </w:r>
      <w:r>
        <w:rPr>
          <w:rFonts w:hint="eastAsia"/>
          <w:sz w:val="28"/>
          <w:szCs w:val="28"/>
        </w:rPr>
        <w:tab/>
      </w:r>
      <w:r>
        <w:rPr>
          <w:rFonts w:hint="eastAsia"/>
          <w:sz w:val="28"/>
          <w:szCs w:val="28"/>
        </w:rPr>
        <w:t>44</w:t>
      </w:r>
    </w:p>
    <w:p>
      <w:pPr>
        <w:pStyle w:val="13"/>
        <w:adjustRightInd w:val="0"/>
        <w:snapToGrid w:val="0"/>
        <w:spacing w:line="600" w:lineRule="exact"/>
        <w:jc w:val="left"/>
        <w:rPr>
          <w:rFonts w:ascii="仿宋" w:hAnsi="仿宋" w:eastAsia="仿宋"/>
          <w:sz w:val="28"/>
        </w:rPr>
      </w:pPr>
      <w:r>
        <w:rPr>
          <w:rFonts w:hint="eastAsia" w:ascii="仿宋_GB2312" w:hAnsi="仿宋" w:eastAsia="仿宋_GB2312"/>
          <w:sz w:val="28"/>
        </w:rPr>
        <w:t>十二、国有资本经营预算财政拨款支出决算表</w:t>
      </w:r>
      <w:r>
        <w:rPr>
          <w:rFonts w:hint="eastAsia"/>
          <w:sz w:val="28"/>
          <w:szCs w:val="28"/>
        </w:rPr>
        <w:tab/>
      </w:r>
      <w:r>
        <w:rPr>
          <w:rFonts w:hint="eastAsia"/>
          <w:sz w:val="28"/>
          <w:szCs w:val="28"/>
        </w:rPr>
        <w:t>44</w:t>
      </w:r>
    </w:p>
    <w:p>
      <w:pPr>
        <w:pStyle w:val="13"/>
        <w:adjustRightInd w:val="0"/>
        <w:snapToGrid w:val="0"/>
        <w:spacing w:line="600" w:lineRule="exact"/>
        <w:jc w:val="left"/>
        <w:rPr>
          <w:rFonts w:ascii="仿宋" w:hAnsi="仿宋" w:eastAsia="仿宋"/>
          <w:sz w:val="28"/>
        </w:rPr>
      </w:pPr>
      <w:r>
        <w:rPr>
          <w:rFonts w:hint="eastAsia" w:ascii="仿宋_GB2312" w:hAnsi="仿宋" w:eastAsia="仿宋_GB2312"/>
          <w:sz w:val="28"/>
        </w:rPr>
        <w:t>十三、财政拨款“三公”经费支出决算表</w:t>
      </w:r>
      <w:r>
        <w:rPr>
          <w:rFonts w:hint="eastAsia"/>
          <w:sz w:val="28"/>
          <w:szCs w:val="28"/>
        </w:rPr>
        <w:tab/>
      </w:r>
      <w:r>
        <w:rPr>
          <w:rFonts w:hint="eastAsia"/>
          <w:sz w:val="28"/>
          <w:szCs w:val="28"/>
        </w:rPr>
        <w:t>44</w:t>
      </w:r>
    </w:p>
    <w:p>
      <w:pPr>
        <w:widowControl/>
        <w:spacing w:line="440" w:lineRule="exact"/>
        <w:jc w:val="center"/>
        <w:rPr>
          <w:rFonts w:ascii="仿宋_GB2312" w:hAnsi="仿宋" w:eastAsia="仿宋_GB2312"/>
          <w:b/>
          <w:sz w:val="24"/>
        </w:rPr>
      </w:pPr>
      <w:bookmarkStart w:id="12" w:name="_Toc15396599"/>
      <w:bookmarkStart w:id="13" w:name="_Toc15377196"/>
    </w:p>
    <w:p>
      <w:pPr>
        <w:widowControl/>
        <w:spacing w:line="440" w:lineRule="exact"/>
        <w:jc w:val="center"/>
        <w:rPr>
          <w:rFonts w:ascii="仿宋_GB2312" w:hAnsi="仿宋" w:eastAsia="仿宋_GB2312"/>
          <w:b/>
          <w:bCs/>
          <w:kern w:val="44"/>
          <w:sz w:val="24"/>
        </w:rPr>
      </w:pPr>
      <w:r>
        <w:rPr>
          <w:rFonts w:hint="eastAsia" w:ascii="仿宋_GB2312" w:hAnsi="仿宋" w:eastAsia="仿宋_GB2312"/>
          <w:b/>
          <w:sz w:val="24"/>
        </w:rPr>
        <w:br w:type="page"/>
      </w:r>
    </w:p>
    <w:p>
      <w:pPr>
        <w:pStyle w:val="3"/>
        <w:spacing w:before="0"/>
        <w:jc w:val="center"/>
        <w:rPr>
          <w:rFonts w:ascii="黑体" w:hAnsi="黑体" w:eastAsia="黑体"/>
          <w:b w:val="0"/>
          <w:bCs w:val="0"/>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p>
    <w:p>
      <w:pPr>
        <w:pStyle w:val="4"/>
        <w:spacing w:before="0" w:after="0" w:line="600" w:lineRule="exact"/>
        <w:ind w:firstLine="640" w:firstLineChars="200"/>
        <w:rPr>
          <w:rFonts w:ascii="黑体" w:hAnsi="黑体" w:eastAsia="黑体"/>
          <w:b w:val="0"/>
        </w:rPr>
      </w:pPr>
      <w:bookmarkStart w:id="14" w:name="_Toc15377197"/>
      <w:bookmarkStart w:id="15" w:name="_Toc15396600"/>
      <w:r>
        <w:rPr>
          <w:rFonts w:hint="eastAsia" w:ascii="黑体" w:hAnsi="黑体" w:eastAsia="黑体"/>
          <w:b w:val="0"/>
        </w:rPr>
        <w:t>一、</w:t>
      </w:r>
      <w:bookmarkEnd w:id="14"/>
      <w:bookmarkEnd w:id="15"/>
      <w:r>
        <w:rPr>
          <w:rFonts w:hint="eastAsia" w:ascii="黑体" w:hAnsi="黑体" w:eastAsia="黑体"/>
          <w:b w:val="0"/>
        </w:rPr>
        <w:t>部门职责</w:t>
      </w:r>
      <w:bookmarkStart w:id="16" w:name="_Toc15377200"/>
      <w:bookmarkStart w:id="17" w:name="_Toc15396601"/>
    </w:p>
    <w:p>
      <w:pPr>
        <w:spacing w:line="600" w:lineRule="exact"/>
        <w:ind w:firstLine="643" w:firstLineChars="200"/>
        <w:rPr>
          <w:rFonts w:ascii="仿宋_GB2312" w:eastAsia="仿宋_GB2312"/>
          <w:b/>
          <w:sz w:val="32"/>
        </w:rPr>
      </w:pPr>
      <w:r>
        <w:rPr>
          <w:rFonts w:hint="eastAsia" w:ascii="仿宋_GB2312" w:eastAsia="仿宋_GB2312"/>
          <w:b/>
          <w:sz w:val="32"/>
        </w:rPr>
        <w:t>（一）主要职责。</w:t>
      </w:r>
    </w:p>
    <w:p>
      <w:pPr>
        <w:spacing w:line="576" w:lineRule="exact"/>
        <w:ind w:firstLine="640" w:firstLineChars="200"/>
        <w:outlineLvl w:val="1"/>
      </w:pPr>
      <w:r>
        <w:rPr>
          <w:rFonts w:hint="eastAsia" w:ascii="仿宋_GB2312" w:hAnsi="仿宋" w:eastAsia="仿宋_GB2312"/>
          <w:sz w:val="32"/>
          <w:szCs w:val="32"/>
        </w:rPr>
        <w:t>纪委监督执纪问责，监委监督调查处置。纪委监委是确保党章党规党纪的有效执行，保证党组织的充分履行职能、发挥领导作用，保证全体党员发挥先锋模范作用、党的干部发挥示范带头作用，保证国家公职人员依法履行、秉公用权的组织。</w:t>
      </w:r>
    </w:p>
    <w:p>
      <w:pPr>
        <w:pStyle w:val="2"/>
        <w:spacing w:beforeLines="0" w:line="600" w:lineRule="exact"/>
        <w:ind w:firstLine="643" w:firstLineChars="200"/>
        <w:rPr>
          <w:b/>
          <w:kern w:val="2"/>
          <w:sz w:val="32"/>
        </w:rPr>
      </w:pPr>
      <w:r>
        <w:rPr>
          <w:rFonts w:hint="eastAsia"/>
          <w:b/>
          <w:kern w:val="2"/>
          <w:sz w:val="32"/>
        </w:rPr>
        <w:t>（二）2022年度重点工作完成情况。</w:t>
      </w:r>
    </w:p>
    <w:p>
      <w:pPr>
        <w:spacing w:line="576"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1.深入推进政治监督，忠诚践行“两个维护”。区纪委常委会把学习贯彻习近平新时代中国特色社会主义思想作为首要政治任务，深入学习宣传党的二十大精神，坚持学思践悟、知行合一。</w:t>
      </w:r>
    </w:p>
    <w:p>
      <w:pPr>
        <w:spacing w:line="576"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2.持之以恒标本兼治，一体推进“三不腐”。保持反对和惩治腐败的强大力量常在，坚持无禁区、全覆盖、零容忍，坚持有案必查、有腐必惩。</w:t>
      </w:r>
    </w:p>
    <w:p>
      <w:pPr>
        <w:spacing w:line="576"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3.聚焦民生重点领域，整治群众身边腐败和不正之风。把解决群众身边腐败和不正之风摆在更加突出位置，聚焦重点行业、乡村振兴等领域加强监督检查。</w:t>
      </w:r>
    </w:p>
    <w:p>
      <w:pPr>
        <w:spacing w:line="576"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4.坚持政治巡察定位，推进巡察高质量发展。制定《中共雅安市雨城区第六届委员会巡察工作规划（2022-2026年）（试行）》《区委2022年度巡察工作计划》，有序开展第一和第二轮巡察工作。</w:t>
      </w:r>
    </w:p>
    <w:p>
      <w:pPr>
        <w:pStyle w:val="4"/>
        <w:spacing w:before="0" w:after="0" w:line="600" w:lineRule="exact"/>
        <w:ind w:firstLine="640" w:firstLineChars="200"/>
        <w:rPr>
          <w:rFonts w:ascii="黑体" w:hAnsi="黑体" w:eastAsia="黑体"/>
          <w:b w:val="0"/>
        </w:rPr>
      </w:pPr>
      <w:r>
        <w:rPr>
          <w:rFonts w:hint="eastAsia" w:ascii="黑体" w:hAnsi="黑体" w:eastAsia="黑体"/>
          <w:b w:val="0"/>
        </w:rPr>
        <w:t>二、机构设置</w:t>
      </w:r>
      <w:bookmarkEnd w:id="16"/>
      <w:bookmarkEnd w:id="17"/>
    </w:p>
    <w:p>
      <w:pPr>
        <w:spacing w:line="576"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lang w:val="zh-CN"/>
        </w:rPr>
        <w:t>中国共产党雅安市雨城区纪律检查委员会</w:t>
      </w:r>
      <w:r>
        <w:rPr>
          <w:rFonts w:hint="eastAsia" w:ascii="仿宋_GB2312" w:hAnsi="仿宋" w:eastAsia="仿宋_GB2312"/>
          <w:sz w:val="32"/>
          <w:szCs w:val="32"/>
        </w:rPr>
        <w:t>属于一级预算单位，下属二级预算单位1个，其中行政单位1个，参照公务员法管理的事业单位0个，其他事业单位0个。</w:t>
      </w:r>
    </w:p>
    <w:p>
      <w:pPr>
        <w:spacing w:line="576"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纳入</w:t>
      </w:r>
      <w:r>
        <w:rPr>
          <w:rFonts w:hint="eastAsia" w:ascii="仿宋_GB2312" w:hAnsi="仿宋" w:eastAsia="仿宋_GB2312"/>
          <w:sz w:val="32"/>
          <w:szCs w:val="32"/>
          <w:lang w:val="zh-CN"/>
        </w:rPr>
        <w:t>中国共产党雅安市雨城区纪律检查委员会</w:t>
      </w:r>
      <w:r>
        <w:rPr>
          <w:rFonts w:hint="eastAsia" w:ascii="仿宋_GB2312" w:hAnsi="仿宋" w:eastAsia="仿宋_GB2312"/>
          <w:sz w:val="32"/>
          <w:szCs w:val="32"/>
        </w:rPr>
        <w:t>2022年度部门决算编制范围的二级预算单位包括：</w:t>
      </w:r>
    </w:p>
    <w:p>
      <w:pPr>
        <w:spacing w:line="576" w:lineRule="exact"/>
        <w:ind w:firstLine="640" w:firstLineChars="200"/>
        <w:outlineLvl w:val="1"/>
        <w:rPr>
          <w:rFonts w:ascii="仿宋_GB2312" w:hAnsi="仿宋" w:eastAsia="仿宋_GB2312"/>
          <w:sz w:val="32"/>
          <w:szCs w:val="32"/>
        </w:rPr>
      </w:pPr>
      <w:bookmarkStart w:id="18" w:name="_Toc15378448"/>
      <w:bookmarkStart w:id="19" w:name="_Toc15377432"/>
      <w:bookmarkStart w:id="20" w:name="_Toc15377201"/>
      <w:bookmarkStart w:id="21" w:name="_Toc15306275"/>
      <w:r>
        <w:rPr>
          <w:rFonts w:hint="eastAsia" w:ascii="仿宋_GB2312" w:hAnsi="仿宋" w:eastAsia="仿宋_GB2312"/>
          <w:sz w:val="32"/>
          <w:szCs w:val="32"/>
        </w:rPr>
        <w:t>1.</w:t>
      </w:r>
      <w:bookmarkEnd w:id="18"/>
      <w:bookmarkEnd w:id="19"/>
      <w:bookmarkEnd w:id="20"/>
      <w:bookmarkEnd w:id="21"/>
      <w:bookmarkStart w:id="22" w:name="_Toc15377202"/>
      <w:bookmarkStart w:id="23" w:name="_Toc15377433"/>
      <w:bookmarkStart w:id="24" w:name="_Toc15378449"/>
      <w:bookmarkStart w:id="25" w:name="_Toc15306276"/>
      <w:r>
        <w:rPr>
          <w:rFonts w:hint="eastAsia" w:ascii="仿宋_GB2312" w:hAnsi="仿宋" w:eastAsia="仿宋_GB2312"/>
          <w:sz w:val="32"/>
          <w:szCs w:val="32"/>
          <w:lang w:val="zh-CN"/>
        </w:rPr>
        <w:t>中国共产党雅安市雨城区纪律检查委员</w:t>
      </w:r>
      <w:r>
        <w:rPr>
          <w:rFonts w:hint="eastAsia" w:ascii="仿宋_GB2312" w:hAnsi="仿宋" w:eastAsia="仿宋_GB2312"/>
          <w:sz w:val="32"/>
          <w:szCs w:val="32"/>
        </w:rPr>
        <w:t>会机关。</w:t>
      </w:r>
      <w:bookmarkEnd w:id="22"/>
      <w:bookmarkEnd w:id="23"/>
      <w:bookmarkEnd w:id="24"/>
      <w:bookmarkEnd w:id="25"/>
    </w:p>
    <w:p>
      <w:pPr>
        <w:spacing w:line="576" w:lineRule="exact"/>
        <w:ind w:firstLine="640" w:firstLineChars="200"/>
        <w:outlineLvl w:val="1"/>
        <w:rPr>
          <w:rFonts w:ascii="仿宋_GB2312" w:hAnsi="仿宋" w:eastAsia="仿宋_GB2312"/>
          <w:sz w:val="32"/>
          <w:szCs w:val="32"/>
        </w:rPr>
      </w:pP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pStyle w:val="3"/>
        <w:spacing w:before="0"/>
        <w:jc w:val="center"/>
        <w:rPr>
          <w:rFonts w:ascii="黑体" w:hAnsi="黑体" w:eastAsia="黑体"/>
          <w:b w:val="0"/>
        </w:rPr>
      </w:pPr>
      <w:bookmarkStart w:id="26" w:name="_Toc15396602"/>
      <w:bookmarkStart w:id="27" w:name="_Toc15377204"/>
      <w:r>
        <w:rPr>
          <w:rFonts w:hint="eastAsia" w:ascii="黑体" w:hAnsi="黑体" w:eastAsia="黑体"/>
          <w:b w:val="0"/>
        </w:rPr>
        <w:t>第二部分 2022年度部门决算情况说明</w:t>
      </w:r>
      <w:bookmarkEnd w:id="26"/>
      <w:bookmarkEnd w:id="27"/>
    </w:p>
    <w:p>
      <w:pPr>
        <w:pStyle w:val="29"/>
        <w:spacing w:line="600" w:lineRule="exact"/>
        <w:ind w:firstLine="640"/>
        <w:outlineLvl w:val="1"/>
        <w:rPr>
          <w:rStyle w:val="31"/>
          <w:rFonts w:ascii="黑体" w:hAnsi="黑体" w:eastAsia="黑体"/>
          <w:b w:val="0"/>
        </w:rPr>
      </w:pPr>
      <w:bookmarkStart w:id="28" w:name="_Toc15377205"/>
      <w:bookmarkStart w:id="29" w:name="_Toc15396603"/>
      <w:r>
        <w:rPr>
          <w:rFonts w:hint="eastAsia" w:ascii="黑体" w:hAnsi="黑体" w:eastAsia="黑体"/>
          <w:sz w:val="32"/>
          <w:szCs w:val="32"/>
        </w:rPr>
        <w:t>一、收</w:t>
      </w:r>
      <w:r>
        <w:rPr>
          <w:rStyle w:val="31"/>
          <w:rFonts w:hint="eastAsia" w:ascii="黑体" w:hAnsi="黑体" w:eastAsia="黑体"/>
          <w:b w:val="0"/>
        </w:rPr>
        <w:t>入支出决算总体情况说明</w:t>
      </w:r>
      <w:bookmarkEnd w:id="28"/>
      <w:bookmarkEnd w:id="29"/>
    </w:p>
    <w:p>
      <w:pPr>
        <w:spacing w:line="576" w:lineRule="exact"/>
        <w:ind w:firstLine="640" w:firstLineChars="200"/>
        <w:outlineLvl w:val="1"/>
        <w:rPr>
          <w:rFonts w:ascii="仿宋_GB2312" w:hAnsi="仿宋" w:eastAsia="仿宋_GB2312"/>
          <w:sz w:val="32"/>
          <w:szCs w:val="32"/>
          <w:lang w:val="zh-CN"/>
        </w:rPr>
      </w:pPr>
      <w:r>
        <w:rPr>
          <w:rFonts w:hint="eastAsia" w:ascii="仿宋_GB2312" w:hAnsi="仿宋" w:eastAsia="仿宋_GB2312"/>
          <w:sz w:val="32"/>
          <w:szCs w:val="32"/>
          <w:lang w:val="zh-CN"/>
        </w:rPr>
        <w:t>2022年度收、支总计为</w:t>
      </w:r>
      <w:r>
        <w:rPr>
          <w:rFonts w:hint="eastAsia" w:ascii="仿宋_GB2312" w:hAnsi="仿宋" w:eastAsia="仿宋_GB2312"/>
          <w:sz w:val="32"/>
          <w:szCs w:val="32"/>
        </w:rPr>
        <w:t>2082.61</w:t>
      </w:r>
      <w:r>
        <w:rPr>
          <w:rFonts w:hint="eastAsia" w:ascii="仿宋_GB2312" w:hAnsi="仿宋" w:eastAsia="仿宋_GB2312"/>
          <w:sz w:val="32"/>
          <w:szCs w:val="32"/>
          <w:lang w:val="zh-CN"/>
        </w:rPr>
        <w:t>万元。与2021年相比，收、支总计各增加</w:t>
      </w:r>
      <w:r>
        <w:rPr>
          <w:rFonts w:hint="eastAsia" w:ascii="仿宋_GB2312" w:hAnsi="仿宋" w:eastAsia="仿宋_GB2312"/>
          <w:sz w:val="32"/>
          <w:szCs w:val="32"/>
        </w:rPr>
        <w:t>458.01</w:t>
      </w:r>
      <w:r>
        <w:rPr>
          <w:rFonts w:hint="eastAsia" w:ascii="仿宋_GB2312" w:hAnsi="仿宋" w:eastAsia="仿宋_GB2312"/>
          <w:sz w:val="32"/>
          <w:szCs w:val="32"/>
          <w:lang w:val="zh-CN"/>
        </w:rPr>
        <w:t>万元，增长</w:t>
      </w:r>
      <w:r>
        <w:rPr>
          <w:rFonts w:hint="eastAsia" w:ascii="仿宋_GB2312" w:hAnsi="仿宋" w:eastAsia="仿宋_GB2312"/>
          <w:sz w:val="32"/>
          <w:szCs w:val="32"/>
        </w:rPr>
        <w:t>28.19</w:t>
      </w:r>
      <w:r>
        <w:rPr>
          <w:rFonts w:hint="eastAsia" w:ascii="仿宋_GB2312" w:hAnsi="仿宋" w:eastAsia="仿宋_GB2312"/>
          <w:sz w:val="32"/>
          <w:szCs w:val="32"/>
          <w:lang w:val="zh-CN"/>
        </w:rPr>
        <w:t>%。主要变动原因是巡察办整体并入我部门核算，年度总收支增加。</w:t>
      </w:r>
    </w:p>
    <w:p>
      <w:pPr>
        <w:pStyle w:val="2"/>
        <w:spacing w:before="93"/>
        <w:jc w:val="center"/>
      </w:pPr>
      <w:r>
        <w:drawing>
          <wp:inline distT="0" distB="0" distL="114300" distR="114300">
            <wp:extent cx="4572000" cy="2343785"/>
            <wp:effectExtent l="4445" t="4445"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spacing w:before="93"/>
        <w:jc w:val="center"/>
        <w:rPr>
          <w:sz w:val="22"/>
          <w:szCs w:val="20"/>
        </w:rPr>
      </w:pPr>
    </w:p>
    <w:p>
      <w:pPr>
        <w:spacing w:line="600" w:lineRule="exact"/>
        <w:ind w:firstLine="640" w:firstLineChars="200"/>
        <w:outlineLvl w:val="1"/>
        <w:rPr>
          <w:rStyle w:val="31"/>
          <w:rFonts w:ascii="黑体" w:hAnsi="黑体" w:eastAsia="黑体"/>
          <w:b w:val="0"/>
        </w:rPr>
      </w:pPr>
      <w:bookmarkStart w:id="30" w:name="_Toc15396604"/>
      <w:bookmarkStart w:id="31" w:name="_Toc15377206"/>
      <w:r>
        <w:rPr>
          <w:rFonts w:hint="eastAsia" w:ascii="黑体" w:hAnsi="黑体" w:eastAsia="黑体"/>
          <w:sz w:val="32"/>
          <w:szCs w:val="32"/>
        </w:rPr>
        <w:t>二、收</w:t>
      </w:r>
      <w:r>
        <w:rPr>
          <w:rStyle w:val="31"/>
          <w:rFonts w:hint="eastAsia" w:ascii="黑体" w:hAnsi="黑体" w:eastAsia="黑体"/>
          <w:b w:val="0"/>
        </w:rPr>
        <w:t>入决算情况说明</w:t>
      </w:r>
      <w:bookmarkEnd w:id="30"/>
      <w:bookmarkEnd w:id="31"/>
    </w:p>
    <w:p>
      <w:pPr>
        <w:spacing w:line="576" w:lineRule="exact"/>
        <w:ind w:firstLine="640" w:firstLineChars="200"/>
        <w:outlineLvl w:val="1"/>
        <w:rPr>
          <w:rFonts w:ascii="仿宋_GB2312" w:hAnsi="仿宋" w:eastAsia="仿宋_GB2312"/>
          <w:sz w:val="32"/>
          <w:szCs w:val="32"/>
          <w:lang w:val="zh-CN"/>
        </w:rPr>
      </w:pPr>
      <w:r>
        <w:rPr>
          <w:rFonts w:hint="eastAsia" w:ascii="仿宋_GB2312" w:hAnsi="仿宋" w:eastAsia="仿宋_GB2312"/>
          <w:sz w:val="32"/>
          <w:szCs w:val="32"/>
          <w:lang w:val="zh-CN"/>
        </w:rPr>
        <w:t>2022年本年收入合计</w:t>
      </w:r>
      <w:r>
        <w:rPr>
          <w:rFonts w:hint="eastAsia" w:ascii="仿宋_GB2312" w:hAnsi="仿宋" w:eastAsia="仿宋_GB2312"/>
          <w:sz w:val="32"/>
          <w:szCs w:val="32"/>
        </w:rPr>
        <w:t>2061.27</w:t>
      </w:r>
      <w:r>
        <w:rPr>
          <w:rFonts w:hint="eastAsia" w:ascii="仿宋_GB2312" w:hAnsi="仿宋" w:eastAsia="仿宋_GB2312"/>
          <w:sz w:val="32"/>
          <w:szCs w:val="32"/>
          <w:lang w:val="zh-CN"/>
        </w:rPr>
        <w:t>万元，其中：一般公共预算财政拨款收入</w:t>
      </w:r>
      <w:r>
        <w:rPr>
          <w:rFonts w:hint="eastAsia" w:ascii="仿宋_GB2312" w:hAnsi="仿宋" w:eastAsia="仿宋_GB2312"/>
          <w:sz w:val="32"/>
          <w:szCs w:val="32"/>
        </w:rPr>
        <w:t>2061.27</w:t>
      </w:r>
      <w:r>
        <w:rPr>
          <w:rFonts w:hint="eastAsia" w:ascii="仿宋_GB2312" w:hAnsi="仿宋" w:eastAsia="仿宋_GB2312"/>
          <w:sz w:val="32"/>
          <w:szCs w:val="32"/>
          <w:lang w:val="zh-CN"/>
        </w:rPr>
        <w:t>万元，占</w:t>
      </w:r>
      <w:r>
        <w:rPr>
          <w:rFonts w:hint="eastAsia" w:ascii="仿宋_GB2312" w:hAnsi="仿宋" w:eastAsia="仿宋_GB2312"/>
          <w:sz w:val="32"/>
          <w:szCs w:val="32"/>
        </w:rPr>
        <w:t>100</w:t>
      </w:r>
      <w:r>
        <w:rPr>
          <w:rFonts w:hint="eastAsia" w:ascii="仿宋_GB2312" w:hAnsi="仿宋" w:eastAsia="仿宋_GB2312"/>
          <w:sz w:val="32"/>
          <w:szCs w:val="32"/>
          <w:lang w:val="zh-CN"/>
        </w:rPr>
        <w:t>%。</w:t>
      </w:r>
    </w:p>
    <w:p>
      <w:pPr>
        <w:pStyle w:val="19"/>
      </w:pPr>
      <w:r>
        <w:rPr>
          <w:lang w:val="en-US" w:bidi="ar-SA"/>
        </w:rPr>
        <w:drawing>
          <wp:inline distT="0" distB="0" distL="114300" distR="114300">
            <wp:extent cx="5266055" cy="2457450"/>
            <wp:effectExtent l="4445" t="4445" r="6350"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center"/>
        <w:rPr>
          <w:sz w:val="22"/>
          <w:szCs w:val="28"/>
        </w:rPr>
      </w:pPr>
    </w:p>
    <w:p>
      <w:pPr>
        <w:pStyle w:val="29"/>
        <w:spacing w:line="600" w:lineRule="exact"/>
        <w:ind w:firstLine="640"/>
        <w:outlineLvl w:val="1"/>
        <w:rPr>
          <w:rStyle w:val="31"/>
          <w:rFonts w:ascii="黑体" w:hAnsi="黑体" w:eastAsia="黑体"/>
          <w:b w:val="0"/>
        </w:rPr>
      </w:pPr>
      <w:bookmarkStart w:id="32" w:name="_Toc15396605"/>
      <w:bookmarkStart w:id="33" w:name="_Toc15377207"/>
      <w:r>
        <w:rPr>
          <w:rFonts w:hint="eastAsia" w:ascii="黑体" w:hAnsi="黑体" w:eastAsia="黑体"/>
          <w:sz w:val="32"/>
          <w:szCs w:val="32"/>
        </w:rPr>
        <w:t>三、支</w:t>
      </w:r>
      <w:r>
        <w:rPr>
          <w:rStyle w:val="31"/>
          <w:rFonts w:hint="eastAsia" w:ascii="黑体" w:hAnsi="黑体" w:eastAsia="黑体"/>
          <w:b w:val="0"/>
        </w:rPr>
        <w:t>出决算情况说明</w:t>
      </w:r>
      <w:bookmarkEnd w:id="32"/>
      <w:bookmarkEnd w:id="33"/>
    </w:p>
    <w:p>
      <w:pPr>
        <w:spacing w:line="576" w:lineRule="exact"/>
        <w:ind w:firstLine="640" w:firstLineChars="200"/>
        <w:outlineLvl w:val="1"/>
        <w:rPr>
          <w:rFonts w:ascii="仿宋_GB2312" w:hAnsi="仿宋" w:eastAsia="仿宋_GB2312"/>
          <w:sz w:val="32"/>
          <w:szCs w:val="32"/>
          <w:lang w:val="zh-CN"/>
        </w:rPr>
      </w:pPr>
      <w:r>
        <w:rPr>
          <w:rFonts w:hint="eastAsia" w:ascii="仿宋_GB2312" w:hAnsi="仿宋" w:eastAsia="仿宋_GB2312"/>
          <w:sz w:val="32"/>
          <w:szCs w:val="32"/>
          <w:lang w:val="zh-CN"/>
        </w:rPr>
        <w:t>2022年本年支出合计</w:t>
      </w:r>
      <w:r>
        <w:rPr>
          <w:rFonts w:hint="eastAsia" w:ascii="仿宋_GB2312" w:hAnsi="仿宋" w:eastAsia="仿宋_GB2312"/>
          <w:sz w:val="32"/>
          <w:szCs w:val="32"/>
        </w:rPr>
        <w:t>2082.61</w:t>
      </w:r>
      <w:r>
        <w:rPr>
          <w:rFonts w:hint="eastAsia" w:ascii="仿宋_GB2312" w:hAnsi="仿宋" w:eastAsia="仿宋_GB2312"/>
          <w:sz w:val="32"/>
          <w:szCs w:val="32"/>
          <w:lang w:val="zh-CN"/>
        </w:rPr>
        <w:t>万元，其中：基本支出</w:t>
      </w:r>
      <w:r>
        <w:rPr>
          <w:rFonts w:hint="eastAsia" w:ascii="仿宋_GB2312" w:hAnsi="仿宋" w:eastAsia="仿宋_GB2312"/>
          <w:sz w:val="32"/>
          <w:szCs w:val="32"/>
        </w:rPr>
        <w:t>1834.99</w:t>
      </w:r>
      <w:r>
        <w:rPr>
          <w:rFonts w:hint="eastAsia" w:ascii="仿宋_GB2312" w:hAnsi="仿宋" w:eastAsia="仿宋_GB2312"/>
          <w:sz w:val="32"/>
          <w:szCs w:val="32"/>
          <w:lang w:val="zh-CN"/>
        </w:rPr>
        <w:t>万元，占</w:t>
      </w:r>
      <w:r>
        <w:rPr>
          <w:rFonts w:hint="eastAsia" w:ascii="仿宋_GB2312" w:hAnsi="仿宋" w:eastAsia="仿宋_GB2312"/>
          <w:sz w:val="32"/>
          <w:szCs w:val="32"/>
        </w:rPr>
        <w:t>88.11</w:t>
      </w:r>
      <w:r>
        <w:rPr>
          <w:rFonts w:hint="eastAsia" w:ascii="仿宋_GB2312" w:hAnsi="仿宋" w:eastAsia="仿宋_GB2312"/>
          <w:sz w:val="32"/>
          <w:szCs w:val="32"/>
          <w:lang w:val="zh-CN"/>
        </w:rPr>
        <w:t>%；项目支出247.62万元，占</w:t>
      </w:r>
      <w:r>
        <w:rPr>
          <w:rFonts w:hint="eastAsia" w:ascii="仿宋_GB2312" w:hAnsi="仿宋" w:eastAsia="仿宋_GB2312"/>
          <w:sz w:val="32"/>
          <w:szCs w:val="32"/>
        </w:rPr>
        <w:t>11.89</w:t>
      </w:r>
      <w:r>
        <w:rPr>
          <w:rFonts w:hint="eastAsia" w:ascii="仿宋_GB2312" w:hAnsi="仿宋" w:eastAsia="仿宋_GB2312"/>
          <w:sz w:val="32"/>
          <w:szCs w:val="32"/>
          <w:lang w:val="zh-CN"/>
        </w:rPr>
        <w:t>%。</w:t>
      </w:r>
    </w:p>
    <w:p>
      <w:pPr>
        <w:ind w:firstLine="420" w:firstLineChars="200"/>
        <w:outlineLvl w:val="1"/>
      </w:pPr>
      <w:bookmarkStart w:id="34" w:name="_Toc15377208"/>
      <w:bookmarkStart w:id="35" w:name="_Toc15396606"/>
      <w: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spacing w:before="93"/>
        <w:jc w:val="center"/>
        <w:rPr>
          <w:sz w:val="22"/>
          <w:szCs w:val="20"/>
        </w:rPr>
      </w:pPr>
    </w:p>
    <w:p>
      <w:pPr>
        <w:spacing w:line="600" w:lineRule="exact"/>
        <w:ind w:firstLine="640" w:firstLineChars="200"/>
        <w:outlineLvl w:val="1"/>
        <w:rPr>
          <w:rStyle w:val="31"/>
          <w:rFonts w:ascii="黑体" w:hAnsi="黑体" w:eastAsia="黑体"/>
          <w:b w:val="0"/>
        </w:rPr>
      </w:pPr>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34"/>
      <w:bookmarkEnd w:id="35"/>
    </w:p>
    <w:p>
      <w:pPr>
        <w:spacing w:line="576" w:lineRule="exact"/>
        <w:ind w:firstLine="640" w:firstLineChars="200"/>
        <w:outlineLvl w:val="1"/>
        <w:rPr>
          <w:rFonts w:ascii="仿宋_GB2312" w:hAnsi="仿宋" w:eastAsia="仿宋_GB2312"/>
          <w:sz w:val="32"/>
          <w:szCs w:val="32"/>
          <w:lang w:val="zh-CN"/>
        </w:rPr>
      </w:pPr>
      <w:r>
        <w:rPr>
          <w:rFonts w:hint="eastAsia" w:ascii="仿宋_GB2312" w:hAnsi="仿宋" w:eastAsia="仿宋_GB2312"/>
          <w:sz w:val="32"/>
          <w:szCs w:val="32"/>
          <w:lang w:val="zh-CN"/>
        </w:rPr>
        <w:t>2022年财政拨款收、支总计2082.61万元。与2021年相比，财政拨款收、支总计各增加</w:t>
      </w:r>
      <w:r>
        <w:rPr>
          <w:rFonts w:hint="eastAsia" w:ascii="仿宋_GB2312" w:hAnsi="仿宋" w:eastAsia="仿宋_GB2312"/>
          <w:sz w:val="32"/>
          <w:szCs w:val="32"/>
        </w:rPr>
        <w:t>458.01</w:t>
      </w:r>
      <w:r>
        <w:rPr>
          <w:rFonts w:hint="eastAsia" w:ascii="仿宋_GB2312" w:hAnsi="仿宋" w:eastAsia="仿宋_GB2312"/>
          <w:sz w:val="32"/>
          <w:szCs w:val="32"/>
          <w:lang w:val="zh-CN"/>
        </w:rPr>
        <w:t>万元，增长</w:t>
      </w:r>
      <w:r>
        <w:rPr>
          <w:rFonts w:hint="eastAsia" w:ascii="仿宋_GB2312" w:hAnsi="仿宋" w:eastAsia="仿宋_GB2312"/>
          <w:sz w:val="32"/>
          <w:szCs w:val="32"/>
        </w:rPr>
        <w:t>28.19</w:t>
      </w:r>
      <w:r>
        <w:rPr>
          <w:rFonts w:hint="eastAsia" w:ascii="仿宋_GB2312" w:hAnsi="仿宋" w:eastAsia="仿宋_GB2312"/>
          <w:sz w:val="32"/>
          <w:szCs w:val="32"/>
          <w:lang w:val="zh-CN"/>
        </w:rPr>
        <w:t>%。主要变动原因是巡察办整体并入我部门核算，年度总收支增加。</w:t>
      </w:r>
    </w:p>
    <w:p>
      <w:pPr>
        <w:jc w:val="center"/>
      </w:pPr>
      <w:r>
        <w:drawing>
          <wp:inline distT="0" distB="0" distL="114300" distR="114300">
            <wp:extent cx="4572000" cy="24003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31"/>
          <w:rFonts w:ascii="黑体" w:hAnsi="黑体" w:eastAsia="黑体"/>
          <w:b w:val="0"/>
        </w:rPr>
      </w:pPr>
      <w:bookmarkStart w:id="36" w:name="_Toc15396607"/>
      <w:bookmarkStart w:id="37" w:name="_Toc15377209"/>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_GB2312" w:hAnsi="仿宋" w:eastAsia="仿宋_GB2312"/>
          <w:b/>
          <w:sz w:val="32"/>
          <w:szCs w:val="32"/>
        </w:rPr>
      </w:pPr>
      <w:bookmarkStart w:id="38" w:name="_Toc15377210"/>
      <w:r>
        <w:rPr>
          <w:rFonts w:hint="eastAsia" w:ascii="仿宋_GB2312" w:hAnsi="仿宋" w:eastAsia="仿宋_GB2312"/>
          <w:b/>
          <w:sz w:val="32"/>
          <w:szCs w:val="32"/>
        </w:rPr>
        <w:t>（一）一般公共预算财政拨款支出决算总体情况</w:t>
      </w:r>
      <w:bookmarkEnd w:id="38"/>
    </w:p>
    <w:p>
      <w:pPr>
        <w:spacing w:line="576" w:lineRule="exact"/>
        <w:ind w:firstLine="640" w:firstLineChars="200"/>
        <w:outlineLvl w:val="1"/>
        <w:rPr>
          <w:rFonts w:ascii="仿宋_GB2312" w:hAnsi="仿宋" w:eastAsia="仿宋_GB2312"/>
          <w:sz w:val="32"/>
          <w:szCs w:val="32"/>
          <w:lang w:val="zh-CN"/>
        </w:rPr>
      </w:pPr>
      <w:r>
        <w:rPr>
          <w:rFonts w:hint="eastAsia" w:ascii="仿宋_GB2312" w:hAnsi="仿宋" w:eastAsia="仿宋_GB2312"/>
          <w:sz w:val="32"/>
          <w:szCs w:val="32"/>
          <w:lang w:val="zh-CN"/>
        </w:rPr>
        <w:t>2022年一般公共预算财政拨款支出2082.61万元，占本年支出合计的</w:t>
      </w:r>
      <w:r>
        <w:rPr>
          <w:rFonts w:hint="eastAsia" w:ascii="仿宋_GB2312" w:hAnsi="仿宋" w:eastAsia="仿宋_GB2312"/>
          <w:sz w:val="32"/>
          <w:szCs w:val="32"/>
        </w:rPr>
        <w:t>100</w:t>
      </w:r>
      <w:r>
        <w:rPr>
          <w:rFonts w:hint="eastAsia" w:ascii="仿宋_GB2312" w:hAnsi="仿宋" w:eastAsia="仿宋_GB2312"/>
          <w:sz w:val="32"/>
          <w:szCs w:val="32"/>
          <w:lang w:val="zh-CN"/>
        </w:rPr>
        <w:t>%。与2021年相比，一般公共预算财政拨款支出增加</w:t>
      </w:r>
      <w:r>
        <w:rPr>
          <w:rFonts w:hint="eastAsia" w:ascii="仿宋_GB2312" w:hAnsi="仿宋" w:eastAsia="仿宋_GB2312"/>
          <w:sz w:val="32"/>
          <w:szCs w:val="32"/>
        </w:rPr>
        <w:t>458.01</w:t>
      </w:r>
      <w:r>
        <w:rPr>
          <w:rFonts w:hint="eastAsia" w:ascii="仿宋_GB2312" w:hAnsi="仿宋" w:eastAsia="仿宋_GB2312"/>
          <w:sz w:val="32"/>
          <w:szCs w:val="32"/>
          <w:lang w:val="zh-CN"/>
        </w:rPr>
        <w:t>万元，增长</w:t>
      </w:r>
      <w:r>
        <w:rPr>
          <w:rFonts w:hint="eastAsia" w:ascii="仿宋_GB2312" w:hAnsi="仿宋" w:eastAsia="仿宋_GB2312"/>
          <w:sz w:val="32"/>
          <w:szCs w:val="32"/>
        </w:rPr>
        <w:t>28.19</w:t>
      </w:r>
      <w:r>
        <w:rPr>
          <w:rFonts w:hint="eastAsia" w:ascii="仿宋_GB2312" w:hAnsi="仿宋" w:eastAsia="仿宋_GB2312"/>
          <w:sz w:val="32"/>
          <w:szCs w:val="32"/>
          <w:lang w:val="zh-CN"/>
        </w:rPr>
        <w:t>%。主要变动原因是巡察办整体并入我部门核算，年度总收支增加。</w:t>
      </w:r>
    </w:p>
    <w:p>
      <w:pPr>
        <w:ind w:firstLine="420" w:firstLineChars="200"/>
        <w:outlineLvl w:val="1"/>
      </w:pPr>
      <w:r>
        <w:drawing>
          <wp:inline distT="0" distB="0" distL="114300" distR="114300">
            <wp:extent cx="4572000" cy="2743200"/>
            <wp:effectExtent l="4445" t="4445" r="1460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spacing w:before="93"/>
        <w:jc w:val="center"/>
        <w:rPr>
          <w:sz w:val="22"/>
          <w:szCs w:val="20"/>
        </w:rPr>
      </w:pPr>
    </w:p>
    <w:p>
      <w:pPr>
        <w:spacing w:line="600" w:lineRule="exact"/>
        <w:ind w:firstLine="643" w:firstLineChars="200"/>
        <w:jc w:val="left"/>
        <w:outlineLvl w:val="2"/>
        <w:rPr>
          <w:rFonts w:ascii="仿宋_GB2312" w:hAnsi="仿宋" w:eastAsia="仿宋_GB2312"/>
          <w:b/>
          <w:sz w:val="32"/>
          <w:szCs w:val="32"/>
        </w:rPr>
      </w:pPr>
      <w:bookmarkStart w:id="39" w:name="_Toc15377211"/>
      <w:r>
        <w:rPr>
          <w:rFonts w:hint="eastAsia" w:ascii="仿宋_GB2312" w:hAnsi="仿宋" w:eastAsia="仿宋_GB2312"/>
          <w:b/>
          <w:sz w:val="32"/>
          <w:szCs w:val="32"/>
        </w:rPr>
        <w:t>（二）一般公共预算财政拨款支出决算结构情况</w:t>
      </w:r>
      <w:bookmarkEnd w:id="39"/>
    </w:p>
    <w:p>
      <w:pPr>
        <w:spacing w:line="576"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2022年一般公共预算财政拨款支出</w:t>
      </w:r>
      <w:r>
        <w:rPr>
          <w:rFonts w:hint="eastAsia" w:ascii="仿宋_GB2312" w:hAnsi="仿宋" w:eastAsia="仿宋_GB2312"/>
          <w:sz w:val="32"/>
          <w:szCs w:val="32"/>
          <w:lang w:val="zh-CN"/>
        </w:rPr>
        <w:t>2082.61</w:t>
      </w:r>
      <w:r>
        <w:rPr>
          <w:rFonts w:hint="eastAsia" w:ascii="仿宋_GB2312" w:hAnsi="仿宋" w:eastAsia="仿宋_GB2312"/>
          <w:sz w:val="32"/>
          <w:szCs w:val="32"/>
        </w:rPr>
        <w:t>万元，主要用于以下方面:</w:t>
      </w:r>
      <w:r>
        <w:rPr>
          <w:rFonts w:hint="eastAsia" w:ascii="仿宋_GB2312" w:hAnsi="仿宋" w:eastAsia="仿宋_GB2312"/>
          <w:b/>
          <w:sz w:val="32"/>
          <w:szCs w:val="32"/>
        </w:rPr>
        <w:t>一般公共服务（类）</w:t>
      </w:r>
      <w:r>
        <w:rPr>
          <w:rFonts w:hint="eastAsia" w:ascii="仿宋_GB2312" w:hAnsi="仿宋" w:eastAsia="仿宋_GB2312"/>
          <w:bCs/>
          <w:sz w:val="32"/>
          <w:szCs w:val="32"/>
        </w:rPr>
        <w:t>支出</w:t>
      </w:r>
      <w:r>
        <w:rPr>
          <w:rFonts w:hint="eastAsia" w:ascii="仿宋_GB2312" w:hAnsi="仿宋" w:eastAsia="仿宋_GB2312"/>
          <w:sz w:val="32"/>
          <w:szCs w:val="32"/>
        </w:rPr>
        <w:t>1737.54万元，占83.43%；</w:t>
      </w:r>
      <w:r>
        <w:rPr>
          <w:rFonts w:hint="eastAsia" w:ascii="仿宋_GB2312" w:hAnsi="仿宋" w:eastAsia="仿宋_GB2312"/>
          <w:b/>
          <w:sz w:val="32"/>
          <w:szCs w:val="32"/>
        </w:rPr>
        <w:t>社会保障和就业（类）</w:t>
      </w:r>
      <w:r>
        <w:rPr>
          <w:rFonts w:hint="eastAsia" w:ascii="仿宋_GB2312" w:hAnsi="仿宋" w:eastAsia="仿宋_GB2312"/>
          <w:bCs/>
          <w:sz w:val="32"/>
          <w:szCs w:val="32"/>
        </w:rPr>
        <w:t>支出</w:t>
      </w:r>
      <w:r>
        <w:rPr>
          <w:rFonts w:hint="eastAsia" w:ascii="仿宋_GB2312" w:hAnsi="仿宋" w:eastAsia="仿宋_GB2312"/>
          <w:sz w:val="32"/>
          <w:szCs w:val="32"/>
        </w:rPr>
        <w:t>187.57万元，占9%；</w:t>
      </w:r>
      <w:r>
        <w:rPr>
          <w:rFonts w:hint="eastAsia" w:ascii="仿宋_GB2312" w:hAnsi="仿宋" w:eastAsia="仿宋_GB2312"/>
          <w:b/>
          <w:bCs/>
          <w:sz w:val="32"/>
          <w:szCs w:val="32"/>
        </w:rPr>
        <w:t>卫生健康</w:t>
      </w:r>
      <w:r>
        <w:rPr>
          <w:rFonts w:hint="eastAsia" w:ascii="仿宋_GB2312" w:hAnsi="仿宋" w:eastAsia="仿宋_GB2312"/>
          <w:b/>
          <w:sz w:val="32"/>
          <w:szCs w:val="32"/>
        </w:rPr>
        <w:t>（类）</w:t>
      </w:r>
      <w:r>
        <w:rPr>
          <w:rFonts w:hint="eastAsia" w:ascii="仿宋_GB2312" w:hAnsi="仿宋" w:eastAsia="仿宋_GB2312"/>
          <w:bCs/>
          <w:sz w:val="32"/>
          <w:szCs w:val="32"/>
        </w:rPr>
        <w:t>支出</w:t>
      </w:r>
      <w:r>
        <w:rPr>
          <w:rFonts w:hint="eastAsia" w:ascii="仿宋_GB2312" w:hAnsi="仿宋" w:eastAsia="仿宋_GB2312"/>
          <w:sz w:val="32"/>
          <w:szCs w:val="32"/>
        </w:rPr>
        <w:t>69.79万元，占3.35%；</w:t>
      </w:r>
      <w:r>
        <w:rPr>
          <w:rFonts w:hint="eastAsia" w:ascii="仿宋_GB2312" w:hAnsi="仿宋" w:eastAsia="仿宋_GB2312"/>
          <w:b/>
          <w:bCs/>
          <w:sz w:val="32"/>
          <w:szCs w:val="32"/>
        </w:rPr>
        <w:t>住房保障</w:t>
      </w:r>
      <w:r>
        <w:rPr>
          <w:rFonts w:hint="eastAsia" w:ascii="仿宋_GB2312" w:hAnsi="仿宋" w:eastAsia="仿宋_GB2312"/>
          <w:b/>
          <w:sz w:val="32"/>
          <w:szCs w:val="32"/>
        </w:rPr>
        <w:t>（类）</w:t>
      </w:r>
      <w:r>
        <w:rPr>
          <w:rFonts w:hint="eastAsia" w:ascii="仿宋_GB2312" w:hAnsi="仿宋" w:eastAsia="仿宋_GB2312"/>
          <w:bCs/>
          <w:sz w:val="32"/>
          <w:szCs w:val="32"/>
        </w:rPr>
        <w:t>支出</w:t>
      </w:r>
      <w:r>
        <w:rPr>
          <w:rFonts w:hint="eastAsia" w:ascii="仿宋_GB2312" w:hAnsi="仿宋" w:eastAsia="仿宋_GB2312"/>
          <w:sz w:val="32"/>
          <w:szCs w:val="32"/>
        </w:rPr>
        <w:t>87.71万元，占4.22%。</w:t>
      </w:r>
    </w:p>
    <w:p>
      <w:pPr>
        <w:jc w:val="center"/>
      </w:pPr>
      <w:r>
        <w:drawing>
          <wp:inline distT="0" distB="0" distL="114300" distR="114300">
            <wp:extent cx="4572000" cy="30861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spacing w:before="93"/>
        <w:jc w:val="center"/>
        <w:rPr>
          <w:sz w:val="22"/>
          <w:szCs w:val="20"/>
        </w:rPr>
      </w:pPr>
    </w:p>
    <w:p>
      <w:pPr>
        <w:spacing w:line="600" w:lineRule="exact"/>
        <w:ind w:firstLine="643" w:firstLineChars="200"/>
        <w:outlineLvl w:val="2"/>
        <w:rPr>
          <w:rFonts w:ascii="仿宋_GB2312" w:hAnsi="仿宋" w:eastAsia="仿宋_GB2312"/>
          <w:b/>
          <w:sz w:val="32"/>
          <w:szCs w:val="32"/>
        </w:rPr>
      </w:pPr>
      <w:bookmarkStart w:id="40" w:name="_Toc15377212"/>
      <w:r>
        <w:rPr>
          <w:rFonts w:hint="eastAsia" w:ascii="仿宋_GB2312" w:hAnsi="仿宋" w:eastAsia="仿宋_GB2312"/>
          <w:b/>
          <w:sz w:val="32"/>
          <w:szCs w:val="32"/>
        </w:rPr>
        <w:t>（三）一般公共预算财政拨款支出决算具体情况</w:t>
      </w:r>
      <w:bookmarkEnd w:id="40"/>
    </w:p>
    <w:p>
      <w:pPr>
        <w:spacing w:line="576" w:lineRule="exact"/>
        <w:ind w:firstLine="643" w:firstLineChars="200"/>
        <w:outlineLvl w:val="2"/>
        <w:rPr>
          <w:rFonts w:ascii="仿宋_GB2312" w:hAnsi="仿宋" w:eastAsia="仿宋_GB2312"/>
          <w:sz w:val="32"/>
          <w:szCs w:val="32"/>
        </w:rPr>
      </w:pPr>
      <w:bookmarkStart w:id="41" w:name="_Toc15377444"/>
      <w:bookmarkStart w:id="42" w:name="_Toc15378460"/>
      <w:bookmarkStart w:id="43" w:name="_Toc15377213"/>
      <w:r>
        <w:rPr>
          <w:rFonts w:hint="eastAsia" w:ascii="仿宋_GB2312" w:hAnsi="仿宋" w:eastAsia="仿宋_GB2312"/>
          <w:b/>
          <w:sz w:val="32"/>
          <w:szCs w:val="32"/>
        </w:rPr>
        <w:t>2022年一般公共预算支出决算数为2082.61，</w:t>
      </w:r>
      <w:r>
        <w:rPr>
          <w:rStyle w:val="17"/>
          <w:rFonts w:hint="eastAsia" w:ascii="仿宋_GB2312" w:hAnsi="仿宋" w:eastAsia="仿宋_GB2312"/>
          <w:bCs/>
          <w:sz w:val="32"/>
          <w:szCs w:val="32"/>
        </w:rPr>
        <w:t>完成预算100%。其中：</w:t>
      </w:r>
      <w:bookmarkEnd w:id="41"/>
      <w:bookmarkEnd w:id="42"/>
      <w:bookmarkEnd w:id="43"/>
    </w:p>
    <w:p>
      <w:pPr>
        <w:spacing w:line="576" w:lineRule="exact"/>
        <w:ind w:firstLine="643" w:firstLineChars="200"/>
        <w:rPr>
          <w:rFonts w:ascii="仿宋_GB2312" w:hAnsi="仿宋" w:eastAsia="仿宋_GB2312"/>
          <w:b/>
          <w:sz w:val="32"/>
          <w:szCs w:val="32"/>
        </w:rPr>
      </w:pPr>
      <w:r>
        <w:rPr>
          <w:rStyle w:val="17"/>
          <w:rFonts w:hint="eastAsia" w:ascii="仿宋_GB2312" w:hAnsi="仿宋" w:eastAsia="仿宋_GB2312"/>
          <w:bCs/>
          <w:sz w:val="32"/>
          <w:szCs w:val="32"/>
        </w:rPr>
        <w:t>1.一般公共服务（类）</w:t>
      </w:r>
      <w:r>
        <w:rPr>
          <w:rStyle w:val="17"/>
          <w:rFonts w:hint="eastAsia" w:ascii="仿宋_GB2312" w:hAnsi="仿宋" w:eastAsia="仿宋_GB2312"/>
          <w:bCs/>
          <w:color w:val="000000"/>
          <w:sz w:val="32"/>
          <w:szCs w:val="32"/>
        </w:rPr>
        <w:t>纪检监察事务（款）行政运行（项）</w:t>
      </w:r>
      <w:r>
        <w:rPr>
          <w:rStyle w:val="17"/>
          <w:rFonts w:hint="eastAsia" w:ascii="仿宋_GB2312" w:hAnsi="仿宋" w:eastAsia="仿宋_GB2312"/>
          <w:bCs/>
          <w:sz w:val="32"/>
          <w:szCs w:val="32"/>
        </w:rPr>
        <w:t>:</w:t>
      </w:r>
      <w:r>
        <w:rPr>
          <w:rStyle w:val="17"/>
          <w:rFonts w:hint="eastAsia" w:ascii="仿宋_GB2312" w:hAnsi="仿宋" w:eastAsia="仿宋_GB2312"/>
          <w:b w:val="0"/>
          <w:bCs/>
          <w:sz w:val="32"/>
          <w:szCs w:val="32"/>
        </w:rPr>
        <w:t xml:space="preserve"> 支出决算为1456.97万元，完成预算100%。</w:t>
      </w:r>
    </w:p>
    <w:p>
      <w:pPr>
        <w:spacing w:line="576" w:lineRule="exact"/>
        <w:ind w:firstLine="643" w:firstLineChars="200"/>
        <w:rPr>
          <w:rStyle w:val="17"/>
          <w:rFonts w:ascii="仿宋_GB2312" w:eastAsia="仿宋_GB2312"/>
          <w:bCs/>
          <w:sz w:val="32"/>
          <w:szCs w:val="32"/>
        </w:rPr>
      </w:pPr>
      <w:r>
        <w:rPr>
          <w:rStyle w:val="17"/>
          <w:rFonts w:hint="eastAsia" w:ascii="仿宋_GB2312" w:hAnsi="仿宋" w:eastAsia="仿宋_GB2312"/>
          <w:bCs/>
          <w:sz w:val="32"/>
          <w:szCs w:val="32"/>
        </w:rPr>
        <w:t>2.</w:t>
      </w:r>
      <w:r>
        <w:rPr>
          <w:rStyle w:val="17"/>
          <w:rFonts w:hint="eastAsia" w:ascii="仿宋_GB2312" w:hAnsi="仿宋" w:eastAsia="仿宋_GB2312"/>
          <w:bCs/>
          <w:color w:val="000000"/>
          <w:sz w:val="32"/>
          <w:szCs w:val="32"/>
        </w:rPr>
        <w:t>一般公共服务（类）纪检监察事务（款）大案要案查处（项）:</w:t>
      </w:r>
      <w:r>
        <w:rPr>
          <w:rStyle w:val="17"/>
          <w:rFonts w:hint="eastAsia" w:ascii="仿宋_GB2312" w:hAnsi="仿宋" w:eastAsia="仿宋_GB2312"/>
          <w:b w:val="0"/>
          <w:bCs/>
          <w:color w:val="000000"/>
          <w:sz w:val="32"/>
          <w:szCs w:val="32"/>
        </w:rPr>
        <w:t xml:space="preserve"> 支出决算为60万元，完成预算100%。</w:t>
      </w:r>
    </w:p>
    <w:p>
      <w:pPr>
        <w:spacing w:line="576" w:lineRule="exact"/>
        <w:ind w:firstLine="643" w:firstLineChars="200"/>
        <w:rPr>
          <w:rStyle w:val="17"/>
          <w:rFonts w:ascii="仿宋_GB2312" w:hAnsi="仿宋" w:eastAsia="仿宋_GB2312"/>
          <w:b w:val="0"/>
          <w:bCs/>
          <w:color w:val="000000"/>
          <w:sz w:val="32"/>
          <w:szCs w:val="32"/>
        </w:rPr>
      </w:pPr>
      <w:r>
        <w:rPr>
          <w:rStyle w:val="17"/>
          <w:rFonts w:hint="eastAsia" w:ascii="仿宋_GB2312" w:hAnsi="仿宋" w:eastAsia="仿宋_GB2312"/>
          <w:bCs/>
          <w:sz w:val="32"/>
          <w:szCs w:val="32"/>
        </w:rPr>
        <w:t>3.</w:t>
      </w:r>
      <w:r>
        <w:rPr>
          <w:rStyle w:val="17"/>
          <w:rFonts w:hint="eastAsia" w:ascii="仿宋_GB2312" w:hAnsi="仿宋" w:eastAsia="仿宋_GB2312"/>
          <w:bCs/>
          <w:color w:val="000000"/>
          <w:sz w:val="32"/>
          <w:szCs w:val="32"/>
        </w:rPr>
        <w:t>一般公共服务（类）纪检监察事务（款）派驻派出机构（项）:</w:t>
      </w:r>
      <w:r>
        <w:rPr>
          <w:rStyle w:val="17"/>
          <w:rFonts w:hint="eastAsia" w:ascii="仿宋_GB2312" w:hAnsi="仿宋" w:eastAsia="仿宋_GB2312"/>
          <w:b w:val="0"/>
          <w:bCs/>
          <w:color w:val="000000"/>
          <w:sz w:val="32"/>
          <w:szCs w:val="32"/>
        </w:rPr>
        <w:t xml:space="preserve"> 支出决算为6.86万元，完成预算100%。</w:t>
      </w:r>
    </w:p>
    <w:p>
      <w:pPr>
        <w:spacing w:line="576" w:lineRule="exact"/>
        <w:ind w:firstLine="643" w:firstLineChars="200"/>
        <w:rPr>
          <w:rStyle w:val="17"/>
          <w:rFonts w:ascii="仿宋_GB2312" w:hAnsi="仿宋" w:eastAsia="仿宋_GB2312"/>
          <w:b w:val="0"/>
          <w:bCs/>
          <w:color w:val="000000"/>
          <w:sz w:val="32"/>
          <w:szCs w:val="32"/>
        </w:rPr>
      </w:pPr>
      <w:r>
        <w:rPr>
          <w:rStyle w:val="17"/>
          <w:rFonts w:hint="eastAsia" w:ascii="仿宋_GB2312" w:hAnsi="仿宋" w:eastAsia="仿宋_GB2312"/>
          <w:bCs/>
          <w:sz w:val="32"/>
          <w:szCs w:val="32"/>
        </w:rPr>
        <w:t>4.</w:t>
      </w:r>
      <w:r>
        <w:rPr>
          <w:rStyle w:val="17"/>
          <w:rFonts w:hint="eastAsia" w:ascii="仿宋_GB2312" w:hAnsi="仿宋" w:eastAsia="仿宋_GB2312"/>
          <w:bCs/>
          <w:color w:val="000000"/>
          <w:sz w:val="32"/>
          <w:szCs w:val="32"/>
        </w:rPr>
        <w:t>一般公共服务（类）纪检监察事务（款）巡视工作（项）:</w:t>
      </w:r>
      <w:r>
        <w:rPr>
          <w:rStyle w:val="17"/>
          <w:rFonts w:hint="eastAsia" w:ascii="仿宋_GB2312" w:hAnsi="仿宋" w:eastAsia="仿宋_GB2312"/>
          <w:b w:val="0"/>
          <w:bCs/>
          <w:color w:val="000000"/>
          <w:sz w:val="32"/>
          <w:szCs w:val="32"/>
        </w:rPr>
        <w:t xml:space="preserve"> 支出决算为103.85万元，完成预算100%。</w:t>
      </w:r>
    </w:p>
    <w:p>
      <w:pPr>
        <w:spacing w:line="576" w:lineRule="exact"/>
        <w:ind w:firstLine="643" w:firstLineChars="200"/>
      </w:pPr>
      <w:r>
        <w:rPr>
          <w:rStyle w:val="17"/>
          <w:rFonts w:hint="eastAsia" w:ascii="仿宋_GB2312" w:hAnsi="仿宋" w:eastAsia="仿宋_GB2312"/>
          <w:bCs/>
          <w:sz w:val="32"/>
          <w:szCs w:val="32"/>
        </w:rPr>
        <w:t>5.</w:t>
      </w:r>
      <w:r>
        <w:rPr>
          <w:rStyle w:val="17"/>
          <w:rFonts w:hint="eastAsia" w:ascii="仿宋_GB2312" w:hAnsi="仿宋" w:eastAsia="仿宋_GB2312"/>
          <w:bCs/>
          <w:color w:val="000000"/>
          <w:sz w:val="32"/>
          <w:szCs w:val="32"/>
        </w:rPr>
        <w:t>一般公共服务（类）纪检监察事务（款）事业运行（项）:</w:t>
      </w:r>
      <w:r>
        <w:rPr>
          <w:rStyle w:val="17"/>
          <w:rFonts w:hint="eastAsia" w:ascii="仿宋_GB2312" w:hAnsi="仿宋" w:eastAsia="仿宋_GB2312"/>
          <w:b w:val="0"/>
          <w:bCs/>
          <w:color w:val="000000"/>
          <w:sz w:val="32"/>
          <w:szCs w:val="32"/>
        </w:rPr>
        <w:t xml:space="preserve"> 支出决算为30.54万元，完成预算100%。</w:t>
      </w:r>
    </w:p>
    <w:p>
      <w:pPr>
        <w:spacing w:line="576" w:lineRule="exact"/>
        <w:ind w:firstLine="643" w:firstLineChars="200"/>
      </w:pPr>
      <w:r>
        <w:rPr>
          <w:rStyle w:val="17"/>
          <w:rFonts w:hint="eastAsia" w:ascii="仿宋_GB2312" w:hAnsi="仿宋" w:eastAsia="仿宋_GB2312"/>
          <w:bCs/>
          <w:sz w:val="32"/>
          <w:szCs w:val="32"/>
        </w:rPr>
        <w:t>6.</w:t>
      </w:r>
      <w:r>
        <w:rPr>
          <w:rStyle w:val="17"/>
          <w:rFonts w:hint="eastAsia" w:ascii="仿宋_GB2312" w:hAnsi="仿宋" w:eastAsia="仿宋_GB2312"/>
          <w:bCs/>
          <w:color w:val="000000"/>
          <w:sz w:val="32"/>
          <w:szCs w:val="32"/>
        </w:rPr>
        <w:t>一般公共服务（类）纪检监察事务（款）其他纪检监察事务支出（项）:</w:t>
      </w:r>
      <w:r>
        <w:rPr>
          <w:rStyle w:val="17"/>
          <w:rFonts w:hint="eastAsia" w:ascii="仿宋_GB2312" w:hAnsi="仿宋" w:eastAsia="仿宋_GB2312"/>
          <w:b w:val="0"/>
          <w:bCs/>
          <w:color w:val="000000"/>
          <w:sz w:val="32"/>
          <w:szCs w:val="32"/>
        </w:rPr>
        <w:t xml:space="preserve"> 支出决算为76.9万元，完成预算100%。</w:t>
      </w:r>
    </w:p>
    <w:p>
      <w:pPr>
        <w:spacing w:line="576" w:lineRule="exact"/>
        <w:ind w:firstLine="643" w:firstLineChars="200"/>
      </w:pPr>
      <w:r>
        <w:rPr>
          <w:rStyle w:val="17"/>
          <w:rFonts w:hint="eastAsia" w:ascii="仿宋_GB2312" w:hAnsi="仿宋" w:eastAsia="仿宋_GB2312"/>
          <w:bCs/>
          <w:sz w:val="32"/>
          <w:szCs w:val="32"/>
        </w:rPr>
        <w:t>7.</w:t>
      </w:r>
      <w:r>
        <w:rPr>
          <w:rStyle w:val="17"/>
          <w:rFonts w:hint="eastAsia" w:ascii="仿宋_GB2312" w:hAnsi="仿宋" w:eastAsia="仿宋_GB2312"/>
          <w:bCs/>
          <w:color w:val="000000"/>
          <w:sz w:val="32"/>
          <w:szCs w:val="32"/>
        </w:rPr>
        <w:t>一般公共服务（类）组织事务（款）行政运行（项）:</w:t>
      </w:r>
      <w:r>
        <w:rPr>
          <w:rStyle w:val="17"/>
          <w:rFonts w:hint="eastAsia" w:ascii="仿宋_GB2312" w:hAnsi="仿宋" w:eastAsia="仿宋_GB2312"/>
          <w:b w:val="0"/>
          <w:bCs/>
          <w:color w:val="000000"/>
          <w:sz w:val="32"/>
          <w:szCs w:val="32"/>
        </w:rPr>
        <w:t xml:space="preserve"> 支出决算为2.42万元，完成预算100%。</w:t>
      </w:r>
    </w:p>
    <w:p>
      <w:pPr>
        <w:spacing w:line="576" w:lineRule="exact"/>
        <w:ind w:firstLine="643" w:firstLineChars="200"/>
        <w:rPr>
          <w:rStyle w:val="17"/>
          <w:rFonts w:ascii="仿宋_GB2312" w:hAnsi="仿宋" w:eastAsia="仿宋_GB2312"/>
          <w:b w:val="0"/>
          <w:bCs/>
          <w:color w:val="000000"/>
          <w:sz w:val="32"/>
          <w:szCs w:val="32"/>
        </w:rPr>
      </w:pPr>
      <w:r>
        <w:rPr>
          <w:rStyle w:val="17"/>
          <w:rFonts w:hint="eastAsia" w:ascii="仿宋_GB2312" w:hAnsi="仿宋" w:eastAsia="仿宋_GB2312"/>
          <w:bCs/>
          <w:color w:val="000000"/>
          <w:sz w:val="32"/>
          <w:szCs w:val="32"/>
        </w:rPr>
        <w:t>8.社会保障和就业支出（类）行政事业单位养老支出（款） 行政单位离退休（项）:</w:t>
      </w:r>
      <w:r>
        <w:rPr>
          <w:rStyle w:val="17"/>
          <w:rFonts w:hint="eastAsia" w:ascii="仿宋_GB2312" w:hAnsi="仿宋" w:eastAsia="仿宋_GB2312"/>
          <w:b w:val="0"/>
          <w:bCs/>
          <w:color w:val="000000"/>
          <w:sz w:val="32"/>
          <w:szCs w:val="32"/>
        </w:rPr>
        <w:t>支出决算为42.74万元，完成预算100%。</w:t>
      </w:r>
    </w:p>
    <w:p>
      <w:pPr>
        <w:spacing w:line="576" w:lineRule="exact"/>
        <w:ind w:firstLine="643" w:firstLineChars="200"/>
        <w:rPr>
          <w:rStyle w:val="17"/>
          <w:rFonts w:ascii="仿宋_GB2312" w:hAnsi="仿宋" w:eastAsia="仿宋_GB2312"/>
          <w:b w:val="0"/>
          <w:bCs/>
          <w:color w:val="000000"/>
          <w:sz w:val="32"/>
          <w:szCs w:val="32"/>
        </w:rPr>
      </w:pPr>
      <w:r>
        <w:rPr>
          <w:rStyle w:val="17"/>
          <w:rFonts w:hint="eastAsia" w:ascii="仿宋_GB2312" w:hAnsi="仿宋" w:eastAsia="仿宋_GB2312"/>
          <w:bCs/>
          <w:color w:val="000000"/>
          <w:sz w:val="32"/>
          <w:szCs w:val="32"/>
        </w:rPr>
        <w:t>9.社会保障和就业支出（类）行政事业单位养老支出（款） 机关事业单位基本养老保险缴费支出（项）:</w:t>
      </w:r>
      <w:r>
        <w:rPr>
          <w:rStyle w:val="17"/>
          <w:rFonts w:hint="eastAsia" w:ascii="仿宋_GB2312" w:hAnsi="仿宋" w:eastAsia="仿宋_GB2312"/>
          <w:b w:val="0"/>
          <w:bCs/>
          <w:color w:val="000000"/>
          <w:sz w:val="32"/>
          <w:szCs w:val="32"/>
        </w:rPr>
        <w:t>支出决算为109.88万元，完成预算100%。</w:t>
      </w:r>
    </w:p>
    <w:p>
      <w:pPr>
        <w:spacing w:line="576" w:lineRule="exact"/>
        <w:ind w:firstLine="643" w:firstLineChars="200"/>
        <w:rPr>
          <w:rStyle w:val="17"/>
          <w:rFonts w:ascii="仿宋_GB2312" w:hAnsi="仿宋" w:eastAsia="仿宋_GB2312"/>
          <w:b w:val="0"/>
          <w:bCs/>
          <w:color w:val="000000"/>
          <w:sz w:val="32"/>
          <w:szCs w:val="32"/>
        </w:rPr>
      </w:pPr>
      <w:r>
        <w:rPr>
          <w:rStyle w:val="17"/>
          <w:rFonts w:hint="eastAsia" w:ascii="仿宋_GB2312" w:hAnsi="仿宋" w:eastAsia="仿宋_GB2312"/>
          <w:bCs/>
          <w:color w:val="000000"/>
          <w:sz w:val="32"/>
          <w:szCs w:val="32"/>
        </w:rPr>
        <w:t>10.社会保障和就业支出（类）行政事业单位养老支出（款） 机关事业单位职业年金缴费支出（项）:</w:t>
      </w:r>
      <w:r>
        <w:rPr>
          <w:rStyle w:val="17"/>
          <w:rFonts w:hint="eastAsia" w:ascii="仿宋_GB2312" w:hAnsi="仿宋" w:eastAsia="仿宋_GB2312"/>
          <w:b w:val="0"/>
          <w:bCs/>
          <w:color w:val="000000"/>
          <w:sz w:val="32"/>
          <w:szCs w:val="32"/>
        </w:rPr>
        <w:t>支出决算为31.79万元，完成预算100%。</w:t>
      </w:r>
    </w:p>
    <w:p>
      <w:pPr>
        <w:spacing w:line="576" w:lineRule="exact"/>
        <w:ind w:firstLine="643" w:firstLineChars="200"/>
        <w:rPr>
          <w:rStyle w:val="17"/>
          <w:rFonts w:ascii="仿宋_GB2312" w:hAnsi="仿宋" w:eastAsia="仿宋_GB2312"/>
          <w:b w:val="0"/>
          <w:bCs/>
          <w:color w:val="000000"/>
          <w:sz w:val="32"/>
          <w:szCs w:val="32"/>
        </w:rPr>
      </w:pPr>
      <w:r>
        <w:rPr>
          <w:rStyle w:val="17"/>
          <w:rFonts w:hint="eastAsia" w:hAnsi="仿宋"/>
          <w:bCs/>
          <w:color w:val="000000"/>
          <w:sz w:val="32"/>
          <w:szCs w:val="32"/>
        </w:rPr>
        <w:t>11</w:t>
      </w:r>
      <w:r>
        <w:rPr>
          <w:rStyle w:val="17"/>
          <w:rFonts w:hint="eastAsia" w:ascii="仿宋_GB2312" w:hAnsi="仿宋" w:eastAsia="仿宋_GB2312"/>
          <w:bCs/>
          <w:color w:val="000000"/>
          <w:sz w:val="32"/>
          <w:szCs w:val="32"/>
        </w:rPr>
        <w:t>.社会保障和就业支出（类）其他社会保障和就业支出（款）其他社会保障和就业支出（项）:</w:t>
      </w:r>
      <w:r>
        <w:rPr>
          <w:rStyle w:val="17"/>
          <w:rFonts w:hint="eastAsia" w:ascii="仿宋_GB2312" w:hAnsi="仿宋" w:eastAsia="仿宋_GB2312"/>
          <w:b w:val="0"/>
          <w:bCs/>
          <w:color w:val="000000"/>
          <w:sz w:val="32"/>
          <w:szCs w:val="32"/>
        </w:rPr>
        <w:t>支出决算为3.16万元，完成预算100%。</w:t>
      </w:r>
    </w:p>
    <w:p>
      <w:pPr>
        <w:spacing w:line="576" w:lineRule="exact"/>
        <w:ind w:firstLine="643" w:firstLineChars="200"/>
        <w:rPr>
          <w:rStyle w:val="17"/>
          <w:rFonts w:hAnsi="仿宋"/>
          <w:bCs/>
          <w:color w:val="000000"/>
          <w:sz w:val="32"/>
          <w:szCs w:val="32"/>
        </w:rPr>
      </w:pPr>
      <w:r>
        <w:rPr>
          <w:rStyle w:val="17"/>
          <w:rFonts w:hint="eastAsia" w:hAnsi="仿宋"/>
          <w:bCs/>
          <w:color w:val="000000"/>
          <w:sz w:val="32"/>
          <w:szCs w:val="32"/>
        </w:rPr>
        <w:t>12</w:t>
      </w:r>
      <w:r>
        <w:rPr>
          <w:rStyle w:val="17"/>
          <w:rFonts w:hint="eastAsia" w:ascii="仿宋_GB2312" w:hAnsi="仿宋" w:eastAsia="仿宋_GB2312"/>
          <w:bCs/>
          <w:color w:val="000000"/>
          <w:sz w:val="32"/>
          <w:szCs w:val="32"/>
        </w:rPr>
        <w:t>.卫生健康支出（类）行政事业单位医疗（款）行政单位医疗（项）:</w:t>
      </w:r>
      <w:r>
        <w:rPr>
          <w:rStyle w:val="17"/>
          <w:rFonts w:hint="eastAsia" w:ascii="仿宋_GB2312" w:hAnsi="仿宋" w:eastAsia="仿宋_GB2312"/>
          <w:b w:val="0"/>
          <w:bCs/>
          <w:color w:val="000000"/>
          <w:sz w:val="32"/>
          <w:szCs w:val="32"/>
        </w:rPr>
        <w:t>支出决算为60.27万元，完成预算100%。</w:t>
      </w:r>
    </w:p>
    <w:p>
      <w:pPr>
        <w:pStyle w:val="19"/>
        <w:spacing w:line="576" w:lineRule="exact"/>
        <w:ind w:firstLine="643" w:firstLineChars="200"/>
        <w:rPr>
          <w:rStyle w:val="17"/>
          <w:rFonts w:hAnsi="仿宋"/>
          <w:b w:val="0"/>
          <w:bCs/>
          <w:color w:val="000000"/>
          <w:sz w:val="32"/>
          <w:szCs w:val="32"/>
        </w:rPr>
      </w:pPr>
      <w:r>
        <w:rPr>
          <w:rStyle w:val="17"/>
          <w:rFonts w:hint="eastAsia" w:hAnsi="仿宋"/>
          <w:bCs/>
          <w:color w:val="000000"/>
          <w:sz w:val="32"/>
          <w:szCs w:val="32"/>
          <w:lang w:val="en-US"/>
        </w:rPr>
        <w:t>13.</w:t>
      </w:r>
      <w:r>
        <w:rPr>
          <w:rStyle w:val="17"/>
          <w:rFonts w:hint="eastAsia" w:hAnsi="仿宋"/>
          <w:bCs/>
          <w:color w:val="000000"/>
          <w:sz w:val="32"/>
          <w:szCs w:val="32"/>
        </w:rPr>
        <w:t>卫生健康支出（类）行政事业单位医疗（款）事业单位医疗（项）:</w:t>
      </w:r>
      <w:r>
        <w:rPr>
          <w:rStyle w:val="17"/>
          <w:rFonts w:hint="eastAsia" w:hAnsi="仿宋"/>
          <w:b w:val="0"/>
          <w:bCs/>
          <w:color w:val="000000"/>
          <w:sz w:val="32"/>
          <w:szCs w:val="32"/>
        </w:rPr>
        <w:t>支出决算为</w:t>
      </w:r>
      <w:r>
        <w:rPr>
          <w:rStyle w:val="17"/>
          <w:rFonts w:hint="eastAsia" w:hAnsi="仿宋"/>
          <w:b w:val="0"/>
          <w:bCs/>
          <w:color w:val="000000"/>
          <w:sz w:val="32"/>
          <w:szCs w:val="32"/>
          <w:lang w:val="en-US"/>
        </w:rPr>
        <w:t>2.13</w:t>
      </w:r>
      <w:r>
        <w:rPr>
          <w:rStyle w:val="17"/>
          <w:rFonts w:hint="eastAsia" w:hAnsi="仿宋"/>
          <w:b w:val="0"/>
          <w:bCs/>
          <w:color w:val="000000"/>
          <w:sz w:val="32"/>
          <w:szCs w:val="32"/>
        </w:rPr>
        <w:t>万元，完成预算100%。</w:t>
      </w:r>
    </w:p>
    <w:p>
      <w:pPr>
        <w:pStyle w:val="19"/>
        <w:spacing w:line="576" w:lineRule="exact"/>
        <w:ind w:firstLine="643" w:firstLineChars="200"/>
        <w:rPr>
          <w:lang w:val="en-US"/>
        </w:rPr>
      </w:pPr>
      <w:r>
        <w:rPr>
          <w:rStyle w:val="17"/>
          <w:rFonts w:hint="eastAsia" w:hAnsi="仿宋" w:cs="Times New Roman"/>
          <w:bCs/>
          <w:color w:val="000000"/>
          <w:sz w:val="32"/>
          <w:szCs w:val="32"/>
          <w:lang w:val="en-US"/>
        </w:rPr>
        <w:t>14.</w:t>
      </w:r>
      <w:r>
        <w:rPr>
          <w:rStyle w:val="17"/>
          <w:rFonts w:hint="eastAsia" w:hAnsi="仿宋"/>
          <w:bCs/>
          <w:color w:val="000000"/>
          <w:sz w:val="32"/>
          <w:szCs w:val="32"/>
        </w:rPr>
        <w:t>卫生健康支出（类）行政事业单位医疗（款）公务员医疗补助（项）:</w:t>
      </w:r>
      <w:r>
        <w:rPr>
          <w:rStyle w:val="17"/>
          <w:rFonts w:hint="eastAsia" w:hAnsi="仿宋"/>
          <w:b w:val="0"/>
          <w:bCs/>
          <w:color w:val="000000"/>
          <w:sz w:val="32"/>
          <w:szCs w:val="32"/>
        </w:rPr>
        <w:t>支出决算为</w:t>
      </w:r>
      <w:r>
        <w:rPr>
          <w:rStyle w:val="17"/>
          <w:rFonts w:hint="eastAsia" w:hAnsi="仿宋"/>
          <w:b w:val="0"/>
          <w:bCs/>
          <w:color w:val="000000"/>
          <w:sz w:val="32"/>
          <w:szCs w:val="32"/>
          <w:lang w:val="en-US"/>
        </w:rPr>
        <w:t>7.39</w:t>
      </w:r>
      <w:r>
        <w:rPr>
          <w:rStyle w:val="17"/>
          <w:rFonts w:hint="eastAsia" w:hAnsi="仿宋"/>
          <w:b w:val="0"/>
          <w:bCs/>
          <w:color w:val="000000"/>
          <w:sz w:val="32"/>
          <w:szCs w:val="32"/>
        </w:rPr>
        <w:t>万元，完成预算100%。</w:t>
      </w:r>
    </w:p>
    <w:p>
      <w:pPr>
        <w:spacing w:line="576" w:lineRule="exact"/>
        <w:ind w:firstLine="643" w:firstLineChars="200"/>
        <w:rPr>
          <w:rFonts w:eastAsia="仿宋_GB2312"/>
        </w:rPr>
      </w:pPr>
      <w:r>
        <w:rPr>
          <w:rStyle w:val="17"/>
          <w:rFonts w:hint="eastAsia" w:ascii="仿宋_GB2312" w:hAnsi="仿宋" w:eastAsia="仿宋_GB2312"/>
          <w:bCs/>
          <w:color w:val="000000"/>
          <w:sz w:val="32"/>
          <w:szCs w:val="32"/>
        </w:rPr>
        <w:t>15.</w:t>
      </w:r>
      <w:r>
        <w:rPr>
          <w:rStyle w:val="17"/>
          <w:rFonts w:hint="eastAsia" w:ascii="仿宋_GB2312" w:hAnsi="仿宋" w:eastAsia="仿宋_GB2312"/>
          <w:color w:val="000000"/>
          <w:sz w:val="32"/>
          <w:szCs w:val="32"/>
        </w:rPr>
        <w:t xml:space="preserve"> 住房保障支出(类)住房改革支出(款)住房公积金(项)</w:t>
      </w:r>
      <w:r>
        <w:rPr>
          <w:rFonts w:hint="eastAsia" w:ascii="仿宋_GB2312" w:hAnsi="仿宋_GB2312" w:eastAsia="仿宋_GB2312" w:cs="仿宋_GB2312"/>
          <w:b/>
          <w:bCs/>
          <w:sz w:val="32"/>
          <w:szCs w:val="32"/>
          <w:shd w:val="clear" w:color="auto" w:fill="FFFFFF"/>
        </w:rPr>
        <w:t>:</w:t>
      </w:r>
      <w:r>
        <w:rPr>
          <w:rFonts w:hint="eastAsia" w:ascii="仿宋_GB2312" w:hAnsi="仿宋_GB2312" w:eastAsia="仿宋_GB2312" w:cs="仿宋_GB2312"/>
          <w:sz w:val="32"/>
          <w:szCs w:val="32"/>
          <w:shd w:val="clear" w:color="auto" w:fill="FFFFFF"/>
        </w:rPr>
        <w:t>支出决算为87.71万元,完成预算100%。</w:t>
      </w:r>
    </w:p>
    <w:p>
      <w:pPr>
        <w:tabs>
          <w:tab w:val="right" w:pos="8306"/>
        </w:tabs>
        <w:spacing w:line="600" w:lineRule="exact"/>
        <w:ind w:firstLine="640"/>
        <w:outlineLvl w:val="1"/>
        <w:rPr>
          <w:rStyle w:val="31"/>
        </w:rPr>
      </w:pPr>
      <w:bookmarkStart w:id="44" w:name="_Toc15396608"/>
      <w:bookmarkStart w:id="4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44"/>
      <w:bookmarkEnd w:id="45"/>
      <w:r>
        <w:rPr>
          <w:rStyle w:val="31"/>
          <w:rFonts w:ascii="黑体" w:hAnsi="黑体" w:eastAsia="黑体"/>
          <w:b w:val="0"/>
        </w:rPr>
        <w:tab/>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2022年一般公共预算财政拨款基本支出1834.99万元，其中：</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人员经费1519.2万元，主要包括：基本工资、津贴补贴、奖金、绩效工资、机关事业单位基本养老保险缴费、职业年金缴费、职工基本医疗保险缴费、公务员医疗补助缴费、其他社会保障缴费、住房公积金、其他工资福利支出、抚恤金、奖励金。</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　　公用经费315.79万元，主要包括：办公费、邮电费、差旅费、公务接待费、工会经费、公务用车运行维护费、其他交通费、其他商品和服务支出、办公设备购置。</w:t>
      </w:r>
    </w:p>
    <w:p>
      <w:pPr>
        <w:spacing w:line="600" w:lineRule="exact"/>
        <w:ind w:firstLine="640"/>
        <w:outlineLvl w:val="1"/>
        <w:rPr>
          <w:rFonts w:ascii="仿宋_GB2312" w:hAnsi="仿宋" w:eastAsia="仿宋_GB2312"/>
          <w:color w:val="00B0F0"/>
          <w:sz w:val="32"/>
          <w:szCs w:val="32"/>
        </w:rPr>
      </w:pPr>
      <w:bookmarkStart w:id="46" w:name="_Toc15377215"/>
      <w:bookmarkStart w:id="47" w:name="_Toc15396609"/>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46"/>
      <w:bookmarkEnd w:id="47"/>
      <w:bookmarkStart w:id="48" w:name="_Toc15377216"/>
    </w:p>
    <w:p>
      <w:pPr>
        <w:spacing w:line="600" w:lineRule="exact"/>
        <w:ind w:firstLine="643" w:firstLineChars="200"/>
        <w:outlineLvl w:val="2"/>
        <w:rPr>
          <w:rFonts w:ascii="仿宋_GB2312" w:hAnsi="仿宋" w:eastAsia="仿宋_GB2312"/>
          <w:b/>
          <w:sz w:val="32"/>
          <w:szCs w:val="32"/>
        </w:rPr>
      </w:pPr>
      <w:r>
        <w:rPr>
          <w:rFonts w:hint="eastAsia" w:ascii="仿宋_GB2312" w:hAnsi="仿宋" w:eastAsia="仿宋_GB2312"/>
          <w:b/>
          <w:sz w:val="32"/>
          <w:szCs w:val="32"/>
        </w:rPr>
        <w:t>（一）“三公”经费财政拨款支出决算总体情况说明</w:t>
      </w:r>
      <w:bookmarkEnd w:id="48"/>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2022年“三公”经费财政拨款支出决算为1.41万元，完成预算100%，较上年减少27.85万元，下降95.18%。决算数与预算数持平的主要原因是严格按照预算执行，三公经费财政拨款实现收支平衡。</w:t>
      </w:r>
    </w:p>
    <w:p>
      <w:pPr>
        <w:spacing w:line="600" w:lineRule="exact"/>
        <w:ind w:firstLine="643" w:firstLineChars="200"/>
        <w:jc w:val="left"/>
        <w:outlineLvl w:val="2"/>
        <w:rPr>
          <w:rFonts w:ascii="仿宋_GB2312" w:hAnsi="仿宋" w:eastAsia="仿宋_GB2312"/>
          <w:b/>
          <w:sz w:val="32"/>
          <w:szCs w:val="32"/>
        </w:rPr>
      </w:pPr>
      <w:bookmarkStart w:id="49" w:name="_Toc15377217"/>
      <w:r>
        <w:rPr>
          <w:rFonts w:hint="eastAsia" w:ascii="仿宋_GB2312" w:hAnsi="仿宋" w:eastAsia="仿宋_GB2312"/>
          <w:b/>
          <w:sz w:val="32"/>
          <w:szCs w:val="32"/>
        </w:rPr>
        <w:t>（二）“三公”经费财政拨款支出决算具体情况说明</w:t>
      </w:r>
      <w:bookmarkEnd w:id="49"/>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2022年“三公”经费财政拨款支出决算中，因公出国（境）费支出决算0万元，占0%；公务用车购置及运行维护费支出决算1万元，占70.92%；公务接待费支出决算0.41万元，占29.08%。具体情况如下：</w:t>
      </w:r>
    </w:p>
    <w:p>
      <w:pPr>
        <w:pStyle w:val="19"/>
      </w:pPr>
      <w:r>
        <w:rPr>
          <w:lang w:val="en-US" w:bidi="ar-SA"/>
        </w:rPr>
        <w:drawing>
          <wp:inline distT="0" distB="0" distL="114300" distR="114300">
            <wp:extent cx="5238115" cy="2752725"/>
            <wp:effectExtent l="4445" t="4445" r="15240" b="508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rPr>
          <w:sz w:val="22"/>
          <w:szCs w:val="28"/>
        </w:rPr>
      </w:pPr>
    </w:p>
    <w:p>
      <w:pPr>
        <w:spacing w:line="600" w:lineRule="exact"/>
        <w:ind w:firstLine="643" w:firstLineChars="200"/>
        <w:jc w:val="left"/>
        <w:rPr>
          <w:rFonts w:ascii="仿宋_GB2312" w:hAnsi="仿宋" w:eastAsia="仿宋_GB2312"/>
          <w:sz w:val="32"/>
          <w:szCs w:val="32"/>
        </w:rPr>
      </w:pPr>
      <w:r>
        <w:rPr>
          <w:rFonts w:hint="eastAsia" w:ascii="仿宋_GB2312" w:eastAsia="仿宋_GB2312"/>
          <w:b/>
          <w:sz w:val="32"/>
          <w:szCs w:val="32"/>
        </w:rPr>
        <w:t>1.因公出国（境）经费支出0万元，</w:t>
      </w:r>
      <w:r>
        <w:rPr>
          <w:rFonts w:hint="eastAsia" w:ascii="仿宋_GB2312" w:hAnsi="仿宋" w:eastAsia="仿宋_GB2312"/>
          <w:sz w:val="32"/>
          <w:szCs w:val="32"/>
        </w:rPr>
        <w:t>2022年未安排因公出国（境）经费预算，未发生因公出国（境）事项。因公出国（境）支出决算比2021年增加0万元，增长0%。主要原因是本部门2021年和2022年均无因公出国（境）经费支出。</w:t>
      </w:r>
    </w:p>
    <w:p>
      <w:pPr>
        <w:spacing w:line="576" w:lineRule="exact"/>
        <w:ind w:firstLine="643" w:firstLineChars="200"/>
        <w:rPr>
          <w:rFonts w:ascii="仿宋_GB2312" w:hAnsi="仿宋" w:eastAsia="仿宋_GB2312"/>
          <w:sz w:val="32"/>
          <w:szCs w:val="32"/>
        </w:rPr>
      </w:pPr>
      <w:r>
        <w:rPr>
          <w:rFonts w:hint="eastAsia" w:ascii="仿宋_GB2312" w:eastAsia="仿宋_GB2312"/>
          <w:b/>
          <w:sz w:val="32"/>
          <w:szCs w:val="32"/>
        </w:rPr>
        <w:t>2.公务用车购置及运行维护费支出1万元,</w:t>
      </w:r>
      <w:r>
        <w:rPr>
          <w:rFonts w:hint="eastAsia" w:ascii="仿宋_GB2312" w:hAnsi="仿宋" w:eastAsia="仿宋_GB2312"/>
          <w:sz w:val="32"/>
          <w:szCs w:val="32"/>
        </w:rPr>
        <w:t>完成预算100%。公务用车购置及运行维护费支出决算比2021年减少27.97万元，下降96.55%。主要原因是2022年未新购置公车，2021年购置执法车一辆。其中：</w:t>
      </w:r>
    </w:p>
    <w:p>
      <w:pPr>
        <w:spacing w:line="576" w:lineRule="exact"/>
        <w:ind w:firstLine="643" w:firstLineChars="200"/>
        <w:rPr>
          <w:rFonts w:ascii="仿宋_GB2312" w:eastAsia="仿宋_GB2312"/>
          <w:sz w:val="32"/>
          <w:szCs w:val="32"/>
        </w:rPr>
      </w:pPr>
      <w:r>
        <w:rPr>
          <w:rFonts w:hint="eastAsia" w:ascii="仿宋_GB2312" w:eastAsia="仿宋_GB2312"/>
          <w:b/>
          <w:sz w:val="32"/>
          <w:szCs w:val="32"/>
        </w:rPr>
        <w:t>公务用车购置支出0万元。</w:t>
      </w:r>
      <w:r>
        <w:rPr>
          <w:rFonts w:hint="eastAsia" w:ascii="仿宋_GB2312" w:eastAsia="仿宋_GB2312"/>
          <w:sz w:val="32"/>
          <w:szCs w:val="32"/>
        </w:rPr>
        <w:t>2022年未新购置公务用车。截至2022年12月底，单位共有公务用车5辆，其中：轿车4辆、越野车0辆、小型载客汽车1辆。</w:t>
      </w:r>
    </w:p>
    <w:p>
      <w:pPr>
        <w:spacing w:line="576" w:lineRule="exact"/>
        <w:ind w:firstLine="643" w:firstLineChars="200"/>
        <w:rPr>
          <w:rFonts w:ascii="仿宋_GB2312" w:eastAsia="仿宋_GB2312"/>
          <w:sz w:val="32"/>
          <w:szCs w:val="32"/>
        </w:rPr>
      </w:pPr>
      <w:r>
        <w:rPr>
          <w:rFonts w:hint="eastAsia" w:ascii="仿宋_GB2312" w:eastAsia="仿宋_GB2312"/>
          <w:b/>
          <w:sz w:val="32"/>
          <w:szCs w:val="32"/>
        </w:rPr>
        <w:t>公务用车运行维护费支出1万元。</w:t>
      </w:r>
      <w:r>
        <w:rPr>
          <w:rFonts w:hint="eastAsia" w:ascii="仿宋_GB2312" w:eastAsia="仿宋_GB2312"/>
          <w:sz w:val="32"/>
          <w:szCs w:val="32"/>
        </w:rPr>
        <w:t>主要用于日常监督检查所需的公务用车燃料费、维修费、过路过桥费、保险费等支出。</w:t>
      </w:r>
    </w:p>
    <w:p>
      <w:pPr>
        <w:spacing w:line="576" w:lineRule="exact"/>
        <w:ind w:firstLine="643" w:firstLineChars="200"/>
        <w:rPr>
          <w:rStyle w:val="17"/>
          <w:rFonts w:ascii="仿宋_GB2312" w:hAnsi="仿宋" w:eastAsia="仿宋_GB2312"/>
          <w:b w:val="0"/>
          <w:bCs/>
          <w:sz w:val="32"/>
          <w:szCs w:val="32"/>
        </w:rPr>
      </w:pPr>
      <w:r>
        <w:rPr>
          <w:rFonts w:hint="eastAsia" w:ascii="仿宋_GB2312" w:eastAsia="仿宋_GB2312"/>
          <w:b/>
          <w:sz w:val="32"/>
          <w:szCs w:val="32"/>
        </w:rPr>
        <w:t>3.公务接待费支出0.41万元，</w:t>
      </w:r>
      <w:r>
        <w:rPr>
          <w:rStyle w:val="17"/>
          <w:rFonts w:hint="eastAsia" w:ascii="仿宋_GB2312" w:hAnsi="仿宋" w:eastAsia="仿宋_GB2312"/>
          <w:b w:val="0"/>
          <w:bCs/>
          <w:sz w:val="32"/>
          <w:szCs w:val="32"/>
        </w:rPr>
        <w:t>完成预算100%。</w:t>
      </w:r>
      <w:r>
        <w:rPr>
          <w:rFonts w:hint="eastAsia" w:ascii="仿宋_GB2312" w:eastAsia="仿宋_GB2312"/>
          <w:sz w:val="32"/>
          <w:szCs w:val="32"/>
        </w:rPr>
        <w:t>公务接待费支出决算比2021年</w:t>
      </w:r>
      <w:r>
        <w:rPr>
          <w:rStyle w:val="17"/>
          <w:rFonts w:hint="eastAsia" w:ascii="仿宋_GB2312" w:hAnsi="仿宋" w:eastAsia="仿宋_GB2312"/>
          <w:b w:val="0"/>
          <w:bCs/>
          <w:sz w:val="32"/>
          <w:szCs w:val="32"/>
        </w:rPr>
        <w:t>增加0.13万元，增长46.43%。主要原因是公务接待活动增加。其中：</w:t>
      </w:r>
    </w:p>
    <w:p>
      <w:pPr>
        <w:spacing w:line="576" w:lineRule="exact"/>
        <w:ind w:firstLine="643" w:firstLineChars="200"/>
        <w:rPr>
          <w:rFonts w:ascii="仿宋_GB2312" w:hAnsi="仿宋" w:eastAsia="仿宋_GB2312"/>
          <w:color w:val="00B0F0"/>
          <w:sz w:val="32"/>
          <w:szCs w:val="32"/>
        </w:rPr>
      </w:pPr>
      <w:r>
        <w:rPr>
          <w:rFonts w:hint="eastAsia" w:ascii="仿宋_GB2312" w:hAnsi="仿宋" w:eastAsia="仿宋_GB2312"/>
          <w:b/>
          <w:sz w:val="32"/>
          <w:szCs w:val="32"/>
        </w:rPr>
        <w:t>国内公务接待支出0.41</w:t>
      </w:r>
      <w:r>
        <w:rPr>
          <w:rFonts w:hint="eastAsia" w:ascii="仿宋_GB2312" w:eastAsia="仿宋_GB2312"/>
          <w:b/>
          <w:sz w:val="32"/>
          <w:szCs w:val="32"/>
        </w:rPr>
        <w:t>万元，</w:t>
      </w:r>
      <w:r>
        <w:rPr>
          <w:rFonts w:hint="eastAsia" w:ascii="仿宋_GB2312" w:eastAsia="仿宋_GB2312"/>
          <w:sz w:val="32"/>
          <w:szCs w:val="32"/>
        </w:rPr>
        <w:t>主要用于执行公务、开展业务活动开支的用餐费。国内公务接待6批次，49人次（不包括陪同人员），共计产生餐饮支出0.41万元，具体内容包括：接待名山巡察办学习考察13人次，餐饮支出0.06万元；接待名山纪委学习考察2批次9人，餐饮支出0.1万元；接待德阳罗江纪委2批次19人，餐饮支出0.16万元；接待省纪委考察8人，餐饮支出0.09万元。</w:t>
      </w:r>
    </w:p>
    <w:p>
      <w:pPr>
        <w:spacing w:line="576" w:lineRule="exact"/>
        <w:ind w:firstLine="643" w:firstLineChars="200"/>
        <w:rPr>
          <w:rFonts w:ascii="仿宋_GB2312" w:hAnsi="仿宋" w:eastAsia="仿宋_GB2312"/>
          <w:color w:val="00B0F0"/>
          <w:sz w:val="32"/>
          <w:szCs w:val="32"/>
        </w:rPr>
      </w:pPr>
      <w:bookmarkStart w:id="50" w:name="_Toc15377218"/>
      <w:bookmarkStart w:id="51" w:name="_Toc15396610"/>
      <w:r>
        <w:rPr>
          <w:rFonts w:hint="eastAsia" w:ascii="仿宋_GB2312" w:hAnsi="仿宋" w:eastAsia="仿宋_GB2312"/>
          <w:b/>
          <w:sz w:val="32"/>
          <w:szCs w:val="32"/>
        </w:rPr>
        <w:t>外事接待支出0万元，</w:t>
      </w:r>
      <w:r>
        <w:rPr>
          <w:rFonts w:hint="eastAsia" w:ascii="仿宋_GB2312" w:eastAsia="仿宋_GB2312"/>
          <w:sz w:val="32"/>
          <w:szCs w:val="32"/>
        </w:rPr>
        <w:t>外事接待0批次，0人次，共计支出0万元。</w:t>
      </w:r>
    </w:p>
    <w:p>
      <w:pPr>
        <w:spacing w:line="600" w:lineRule="exact"/>
        <w:ind w:firstLine="640"/>
        <w:outlineLvl w:val="1"/>
        <w:rPr>
          <w:rStyle w:val="31"/>
          <w:rFonts w:ascii="黑体" w:hAnsi="黑体" w:eastAsia="黑体"/>
        </w:rPr>
      </w:pPr>
      <w:r>
        <w:rPr>
          <w:rFonts w:hint="eastAsia" w:ascii="黑体" w:eastAsia="黑体"/>
          <w:sz w:val="32"/>
          <w:szCs w:val="32"/>
        </w:rPr>
        <w:t>八、</w:t>
      </w:r>
      <w:r>
        <w:rPr>
          <w:rStyle w:val="31"/>
          <w:rFonts w:hint="eastAsia" w:ascii="黑体" w:hAnsi="黑体" w:eastAsia="黑体"/>
          <w:b w:val="0"/>
        </w:rPr>
        <w:t>政府性基金预算支出决算情况说明</w:t>
      </w:r>
      <w:bookmarkEnd w:id="50"/>
      <w:bookmarkEnd w:id="5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spacing w:line="600" w:lineRule="exact"/>
        <w:ind w:firstLine="640" w:firstLineChars="200"/>
        <w:outlineLvl w:val="1"/>
        <w:rPr>
          <w:rStyle w:val="31"/>
          <w:rFonts w:ascii="黑体" w:hAnsi="黑体" w:eastAsia="黑体"/>
          <w:b w:val="0"/>
        </w:rPr>
      </w:pPr>
      <w:bookmarkStart w:id="52" w:name="_Toc15396611"/>
      <w:bookmarkStart w:id="53" w:name="_Toc15377219"/>
      <w:r>
        <w:rPr>
          <w:rStyle w:val="31"/>
          <w:rFonts w:hint="eastAsia" w:ascii="黑体" w:hAnsi="黑体" w:eastAsia="黑体"/>
          <w:b w:val="0"/>
        </w:rPr>
        <w:t>九、国有资本经营预算支出决算情况说明</w:t>
      </w:r>
      <w:bookmarkEnd w:id="52"/>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spacing w:line="600" w:lineRule="exact"/>
        <w:ind w:firstLine="640" w:firstLineChars="200"/>
        <w:outlineLvl w:val="1"/>
        <w:rPr>
          <w:rStyle w:val="31"/>
          <w:rFonts w:ascii="黑体" w:hAnsi="黑体" w:eastAsia="黑体"/>
          <w:b w:val="0"/>
        </w:rPr>
      </w:pPr>
      <w:bookmarkStart w:id="54" w:name="_Toc15377221"/>
      <w:bookmarkStart w:id="55" w:name="_Toc15396612"/>
      <w:r>
        <w:rPr>
          <w:rStyle w:val="31"/>
          <w:rFonts w:hint="eastAsia" w:ascii="黑体" w:hAnsi="黑体" w:eastAsia="黑体"/>
          <w:b w:val="0"/>
        </w:rPr>
        <w:t>十、其他重要事项的情况说明</w:t>
      </w:r>
      <w:bookmarkEnd w:id="54"/>
      <w:bookmarkEnd w:id="55"/>
    </w:p>
    <w:p>
      <w:pPr>
        <w:spacing w:line="600" w:lineRule="exact"/>
        <w:ind w:firstLine="643" w:firstLineChars="200"/>
        <w:outlineLvl w:val="2"/>
        <w:rPr>
          <w:rFonts w:ascii="仿宋_GB2312" w:hAnsi="仿宋" w:eastAsia="仿宋_GB2312"/>
          <w:sz w:val="32"/>
          <w:szCs w:val="32"/>
        </w:rPr>
      </w:pPr>
      <w:bookmarkStart w:id="56" w:name="_Toc15377222"/>
      <w:r>
        <w:rPr>
          <w:rFonts w:hint="eastAsia" w:ascii="仿宋_GB2312" w:hAnsi="仿宋" w:eastAsia="仿宋_GB2312"/>
          <w:b/>
          <w:sz w:val="32"/>
          <w:szCs w:val="32"/>
        </w:rPr>
        <w:t>（一）机关运行经费支出情况</w:t>
      </w:r>
      <w:bookmarkEnd w:id="56"/>
    </w:p>
    <w:p>
      <w:pPr>
        <w:spacing w:line="576" w:lineRule="exact"/>
        <w:ind w:firstLine="640" w:firstLineChars="200"/>
        <w:rPr>
          <w:rFonts w:ascii="仿宋_GB2312" w:eastAsia="仿宋_GB2312"/>
          <w:sz w:val="32"/>
          <w:szCs w:val="32"/>
        </w:rPr>
      </w:pPr>
      <w:r>
        <w:rPr>
          <w:rFonts w:hint="eastAsia" w:ascii="仿宋_GB2312" w:eastAsia="仿宋_GB2312"/>
          <w:sz w:val="32"/>
          <w:szCs w:val="32"/>
        </w:rPr>
        <w:t>2022年，区纪委机关运行经费支出315.79万元，比2021年减少4.27万元，下降1.33%。主要原因是厉行节约，严格执行预算，控制办公支出。</w:t>
      </w:r>
    </w:p>
    <w:p>
      <w:pPr>
        <w:autoSpaceDE w:val="0"/>
        <w:autoSpaceDN w:val="0"/>
        <w:adjustRightInd w:val="0"/>
        <w:spacing w:line="600" w:lineRule="exact"/>
        <w:ind w:firstLine="643" w:firstLineChars="200"/>
        <w:outlineLvl w:val="2"/>
        <w:rPr>
          <w:rFonts w:ascii="仿宋_GB2312" w:hAnsi="仿宋" w:eastAsia="仿宋_GB2312"/>
          <w:b/>
          <w:sz w:val="32"/>
          <w:szCs w:val="32"/>
        </w:rPr>
      </w:pPr>
      <w:bookmarkStart w:id="57" w:name="_Toc15377223"/>
      <w:r>
        <w:rPr>
          <w:rFonts w:hint="eastAsia" w:ascii="仿宋_GB2312" w:hAnsi="仿宋" w:eastAsia="仿宋_GB2312"/>
          <w:b/>
          <w:sz w:val="32"/>
          <w:szCs w:val="32"/>
        </w:rPr>
        <w:t>（二）政府采购支出情况</w:t>
      </w:r>
      <w:bookmarkEnd w:id="57"/>
    </w:p>
    <w:p>
      <w:pPr>
        <w:spacing w:line="576" w:lineRule="exact"/>
        <w:ind w:firstLine="640" w:firstLineChars="200"/>
        <w:rPr>
          <w:rFonts w:ascii="仿宋_GB2312" w:eastAsia="仿宋_GB2312"/>
          <w:sz w:val="32"/>
          <w:szCs w:val="32"/>
        </w:rPr>
      </w:pPr>
      <w:r>
        <w:rPr>
          <w:rFonts w:hint="eastAsia" w:ascii="仿宋_GB2312" w:eastAsia="仿宋_GB2312"/>
          <w:sz w:val="32"/>
          <w:szCs w:val="32"/>
        </w:rPr>
        <w:t>2022年，区纪委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outlineLvl w:val="2"/>
        <w:rPr>
          <w:rFonts w:ascii="仿宋_GB2312" w:hAnsi="仿宋" w:eastAsia="仿宋_GB2312"/>
          <w:b/>
          <w:sz w:val="32"/>
          <w:szCs w:val="32"/>
        </w:rPr>
      </w:pPr>
      <w:bookmarkStart w:id="58" w:name="_Toc15377224"/>
      <w:r>
        <w:rPr>
          <w:rFonts w:hint="eastAsia" w:ascii="仿宋_GB2312" w:hAnsi="仿宋" w:eastAsia="仿宋_GB2312"/>
          <w:b/>
          <w:sz w:val="32"/>
          <w:szCs w:val="32"/>
        </w:rPr>
        <w:t>（三）国有资产占有使用情况</w:t>
      </w:r>
      <w:bookmarkEnd w:id="58"/>
    </w:p>
    <w:p>
      <w:pPr>
        <w:autoSpaceDE w:val="0"/>
        <w:autoSpaceDN w:val="0"/>
        <w:adjustRightInd w:val="0"/>
        <w:spacing w:line="600" w:lineRule="exact"/>
        <w:ind w:firstLine="640" w:firstLineChars="200"/>
        <w:jc w:val="left"/>
        <w:rPr>
          <w:rFonts w:ascii="仿宋_GB2312" w:hAnsi="仿宋_GB2312" w:eastAsia="仿宋_GB2312" w:cs="仿宋_GB2312"/>
          <w:b/>
          <w:color w:val="00B0F0"/>
          <w:sz w:val="32"/>
          <w:szCs w:val="32"/>
        </w:rPr>
      </w:pPr>
      <w:r>
        <w:rPr>
          <w:rFonts w:hint="eastAsia" w:ascii="仿宋_GB2312" w:eastAsia="仿宋_GB2312"/>
          <w:sz w:val="32"/>
          <w:szCs w:val="32"/>
        </w:rPr>
        <w:t>截至2022年12月31日，区纪委共有车辆5辆，其中：机要通信用车0辆、应急保障用车0辆、执法执勤用车5辆、特种专业技术用车0辆、其他用车0辆。</w:t>
      </w:r>
      <w:r>
        <w:rPr>
          <w:rFonts w:hint="eastAsia" w:ascii="仿宋_GB2312" w:hAnsi="仿宋_GB2312" w:eastAsia="仿宋_GB2312" w:cs="仿宋_GB2312"/>
          <w:sz w:val="32"/>
          <w:szCs w:val="32"/>
        </w:rPr>
        <w:t>单价100万元（含）以上设备（不含车辆）0台（套）</w:t>
      </w:r>
      <w:r>
        <w:rPr>
          <w:rFonts w:hint="eastAsia" w:ascii="仿宋_GB2312" w:eastAsia="仿宋_GB2312"/>
          <w:sz w:val="32"/>
          <w:szCs w:val="32"/>
        </w:rPr>
        <w:t>。</w:t>
      </w:r>
    </w:p>
    <w:p>
      <w:pPr>
        <w:autoSpaceDE w:val="0"/>
        <w:autoSpaceDN w:val="0"/>
        <w:adjustRightInd w:val="0"/>
        <w:spacing w:line="600" w:lineRule="exact"/>
        <w:ind w:firstLine="643" w:firstLineChars="200"/>
        <w:outlineLvl w:val="2"/>
        <w:rPr>
          <w:rFonts w:ascii="仿宋_GB2312" w:hAnsi="仿宋" w:eastAsia="仿宋_GB2312"/>
          <w:b/>
          <w:sz w:val="32"/>
          <w:szCs w:val="32"/>
        </w:rPr>
      </w:pPr>
      <w:r>
        <w:rPr>
          <w:rFonts w:hint="eastAsia" w:ascii="仿宋_GB2312" w:hAnsi="仿宋" w:eastAsia="仿宋_GB2312"/>
          <w:b/>
          <w:sz w:val="32"/>
          <w:szCs w:val="32"/>
        </w:rPr>
        <w:t>（四）预算绩效管理情况</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人员经费项目—工资福利支出”、“人员经费项目—商品和服务支出”、“人员经费项目—对个人和家庭的补助”、“人员经费项目—资本性支出”等15个项目开展了预算事前绩效评估，对15个项目编制了绩效目标，预算执行过程中，选取了15个项目开展绩效监控。</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w:t>
      </w:r>
      <w:r>
        <w:rPr>
          <w:rFonts w:hint="eastAsia" w:ascii="仿宋_GB2312" w:hAnsi="仿宋_GB2312" w:eastAsia="仿宋_GB2312" w:cs="仿宋_GB2312"/>
          <w:color w:val="000000" w:themeColor="text1"/>
          <w:sz w:val="32"/>
          <w:szCs w:val="32"/>
          <w14:textFill>
            <w14:solidFill>
              <w14:schemeClr w14:val="tx1"/>
            </w14:solidFill>
          </w14:textFill>
        </w:rPr>
        <w:t>金等全面开展绩效自评。</w:t>
      </w:r>
      <w:r>
        <w:rPr>
          <w:rFonts w:hint="eastAsia" w:ascii="仿宋_GB2312" w:hAnsi="仿宋_GB2312" w:eastAsia="仿宋_GB2312" w:cs="仿宋_GB2312"/>
          <w:sz w:val="32"/>
          <w:szCs w:val="32"/>
        </w:rPr>
        <w:t>其中：</w:t>
      </w:r>
    </w:p>
    <w:p>
      <w:pPr>
        <w:widowControl/>
        <w:adjustRightInd w:val="0"/>
        <w:snapToGrid w:val="0"/>
        <w:spacing w:line="580" w:lineRule="exact"/>
        <w:ind w:firstLine="643" w:firstLineChars="200"/>
        <w:contextualSpacing/>
        <w:jc w:val="left"/>
        <w:rPr>
          <w:lang w:val="zh-CN"/>
        </w:rPr>
      </w:pPr>
      <w:r>
        <w:rPr>
          <w:rFonts w:hint="eastAsia" w:ascii="仿宋_GB2312" w:hAnsi="仿宋_GB2312" w:eastAsia="仿宋_GB2312" w:cs="仿宋_GB2312"/>
          <w:b/>
          <w:sz w:val="32"/>
          <w:szCs w:val="32"/>
        </w:rPr>
        <w:t>1.部门整体绩效自评情况。</w:t>
      </w:r>
      <w:r>
        <w:rPr>
          <w:rFonts w:hint="eastAsia" w:ascii="仿宋_GB2312" w:eastAsia="仿宋_GB2312"/>
          <w:sz w:val="32"/>
        </w:rPr>
        <w:t>形成区纪委部门整体绩效自评报告，区纪委部门整体绩效自评得分为89分，绩效自评综述：</w:t>
      </w:r>
      <w:r>
        <w:rPr>
          <w:rFonts w:hint="eastAsia" w:ascii="仿宋_GB2312" w:hAnsi="仿宋_GB2312" w:eastAsia="仿宋_GB2312" w:cs="仿宋_GB2312"/>
          <w:color w:val="000000"/>
          <w:kern w:val="0"/>
          <w:sz w:val="32"/>
          <w:szCs w:val="32"/>
          <w:shd w:val="clear" w:color="auto" w:fill="FFFFFF"/>
          <w:lang w:val="zh-CN"/>
        </w:rPr>
        <w:t>整体支出绩效评价自查自评结果良好，全年基本支出保证了部门的正常运行和日常工作的正常开展，项目支出保障了专项工作开展，达到预期绩效目标。</w:t>
      </w:r>
    </w:p>
    <w:p>
      <w:pPr>
        <w:widowControl/>
        <w:spacing w:line="600" w:lineRule="exact"/>
        <w:ind w:firstLine="643" w:firstLineChars="200"/>
        <w:rPr>
          <w:rFonts w:ascii="仿宋_GB2312" w:hAnsi="仿宋_GB2312" w:eastAsia="仿宋_GB2312" w:cs="仿宋_GB2312"/>
          <w:b/>
          <w:sz w:val="32"/>
          <w:szCs w:val="32"/>
        </w:rPr>
      </w:pPr>
    </w:p>
    <w:p>
      <w:pPr>
        <w:widowControl/>
        <w:spacing w:line="576"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2.专项预算项目绩效自评情况。</w:t>
      </w:r>
      <w:r>
        <w:rPr>
          <w:rFonts w:hint="eastAsia" w:ascii="仿宋_GB2312" w:eastAsia="仿宋_GB2312"/>
          <w:sz w:val="32"/>
        </w:rPr>
        <w:t>形成</w:t>
      </w:r>
      <w:r>
        <w:rPr>
          <w:rFonts w:hint="eastAsia" w:ascii="仿宋_GB2312" w:hAnsi="仿宋_GB2312" w:eastAsia="仿宋_GB2312" w:cs="仿宋_GB2312"/>
          <w:sz w:val="32"/>
          <w:szCs w:val="32"/>
        </w:rPr>
        <w:t>大案要案查处、派驻派出机构、巡视工作、其他纪检监察事务支出</w:t>
      </w:r>
      <w:r>
        <w:rPr>
          <w:rFonts w:hint="eastAsia" w:ascii="仿宋_GB2312" w:eastAsia="仿宋_GB2312"/>
          <w:sz w:val="32"/>
        </w:rPr>
        <w:t>专项预算项目绩效自评报告。</w:t>
      </w:r>
    </w:p>
    <w:p>
      <w:pPr>
        <w:widowControl/>
        <w:spacing w:line="576" w:lineRule="exact"/>
        <w:ind w:firstLine="640" w:firstLineChars="200"/>
        <w:rPr>
          <w:rFonts w:ascii="仿宋_GB2312" w:eastAsia="仿宋_GB2312"/>
          <w:sz w:val="32"/>
        </w:rPr>
      </w:pPr>
      <w:r>
        <w:rPr>
          <w:rFonts w:hint="eastAsia" w:ascii="仿宋_GB2312" w:eastAsia="仿宋_GB2312"/>
          <w:sz w:val="32"/>
        </w:rPr>
        <w:t>（1）大案要案查处专项预算项目绩效自评得分为98分，绩效自评综述：项目全年预算数60万元，执行数60万元，完成预算的100%。通过项目实施，保障案件查办的顺利进行，处置问题线索272件，立案209人，给予党纪政务处分196人，移送检察机关8人。发现的主要问题：</w:t>
      </w:r>
      <w:r>
        <w:rPr>
          <w:rFonts w:hint="eastAsia" w:ascii="仿宋_GB2312" w:eastAsia="仿宋_GB2312"/>
          <w:sz w:val="32"/>
          <w:lang w:val="zh-CN"/>
        </w:rPr>
        <w:t>不敢腐、不能腐、不想腐一体推进制度机制不够健全，措施办法不够丰富。</w:t>
      </w:r>
      <w:r>
        <w:rPr>
          <w:rFonts w:hint="eastAsia" w:ascii="仿宋_GB2312" w:eastAsia="仿宋_GB2312"/>
          <w:sz w:val="32"/>
        </w:rPr>
        <w:t>下一步改进措施：</w:t>
      </w:r>
      <w:r>
        <w:rPr>
          <w:rFonts w:hint="eastAsia" w:ascii="仿宋_GB2312" w:eastAsia="仿宋_GB2312"/>
          <w:sz w:val="32"/>
          <w:lang w:val="zh-CN"/>
        </w:rPr>
        <w:t xml:space="preserve">一体推进“三不腐”，坚决打赢反腐败斗争攻坚战持久战。 </w:t>
      </w:r>
    </w:p>
    <w:p>
      <w:pPr>
        <w:widowControl/>
        <w:spacing w:line="576" w:lineRule="exact"/>
        <w:ind w:firstLine="640" w:firstLineChars="200"/>
        <w:rPr>
          <w:rFonts w:ascii="仿宋_GB2312" w:eastAsia="仿宋_GB2312"/>
          <w:sz w:val="32"/>
        </w:rPr>
      </w:pPr>
      <w:r>
        <w:rPr>
          <w:rFonts w:hint="eastAsia" w:ascii="仿宋_GB2312" w:eastAsia="仿宋_GB2312"/>
          <w:sz w:val="32"/>
        </w:rPr>
        <w:t>（2）派驻派出机构专项预算项目绩效自评得分为100分，绩效自评综述：项目全年预算数6.86万元，执行数6.86万元，完成预算的100%。通过项目实施有效提高了基层纪检干部工作效率与实绩，提高了干部工作积极性。发现的主要问题：有的纪检监察干部能力素质还不够高，工作中存在畏难情绪，不愿监督、不敢监督、不会监督问题依然不同程度存在。下一步改进措施：深化全员实务培训，擦亮“纪检监察大讲堂”工作品牌。加强镇（街道）纪（工）委规范化建设，严格落实“两专三兼”，发挥好村（社区）党风政风监督员作用。强化自我监督约束，坚决防止和纠治“灯下黑”，以实际行动践行忠诚干净担当。</w:t>
      </w:r>
    </w:p>
    <w:p>
      <w:pPr>
        <w:widowControl/>
        <w:spacing w:line="576" w:lineRule="exact"/>
        <w:ind w:firstLine="640" w:firstLineChars="200"/>
        <w:rPr>
          <w:rFonts w:ascii="仿宋_GB2312" w:eastAsia="仿宋_GB2312"/>
          <w:sz w:val="32"/>
        </w:rPr>
      </w:pPr>
      <w:r>
        <w:rPr>
          <w:rFonts w:hint="eastAsia" w:ascii="仿宋_GB2312" w:eastAsia="仿宋_GB2312"/>
          <w:sz w:val="32"/>
        </w:rPr>
        <w:t>（3）巡视工作专项预算项目绩效自评得分为98分，绩效自评综述：项目全年预算数63万元，执行数63万元，完成预算的100%。通过项目实施，对12个部门和4个街道党组织开展常规巡察，对4个街道下辖的30个村（社区）党组织开展延伸巡察。发现的主要问题：巡察工作有待更加深化。下一步改进措施：深化拓展巡察工作，高质量推动巡察“全覆盖”。</w:t>
      </w:r>
    </w:p>
    <w:p>
      <w:pPr>
        <w:widowControl/>
        <w:spacing w:line="576" w:lineRule="exact"/>
        <w:ind w:firstLine="640" w:firstLineChars="200"/>
        <w:rPr>
          <w:rFonts w:ascii="仿宋_GB2312" w:eastAsia="仿宋_GB2312"/>
          <w:sz w:val="32"/>
        </w:rPr>
      </w:pPr>
      <w:r>
        <w:rPr>
          <w:rFonts w:hint="eastAsia" w:ascii="仿宋_GB2312" w:eastAsia="仿宋_GB2312"/>
          <w:sz w:val="32"/>
        </w:rPr>
        <w:t>（4）其他纪检监察事务专项预算项目绩效自评得分为91分，绩效自评综述：项目全年预算数39.98万元，执行数39.98万元，完成预算的100%。通过项目实施，强化政治监督，推动党的二十大决策部署落地见效；做实监督首责，提高监督能力提升监督效能。发现的主要问题：无。下一步改进措施：无。</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《2022年度区纪委部门整体绩效评价报告》见附件1，《专项资金预算项目绩效自评报告》详见附件2。</w:t>
      </w:r>
    </w:p>
    <w:p>
      <w:pPr>
        <w:pStyle w:val="3"/>
        <w:spacing w:before="0"/>
        <w:jc w:val="center"/>
        <w:rPr>
          <w:rFonts w:ascii="黑体" w:hAnsi="黑体" w:eastAsia="黑体"/>
          <w:b w:val="0"/>
        </w:rPr>
      </w:pPr>
      <w:bookmarkStart w:id="59" w:name="_Toc15396613"/>
      <w:bookmarkStart w:id="60" w:name="_Toc15377225"/>
    </w:p>
    <w:p>
      <w:pPr>
        <w:rPr>
          <w:rFonts w:ascii="黑体" w:hAnsi="黑体" w:eastAsia="黑体"/>
        </w:rPr>
      </w:pPr>
    </w:p>
    <w:p>
      <w:pPr>
        <w:pStyle w:val="19"/>
        <w:rPr>
          <w:rFonts w:ascii="黑体" w:hAnsi="黑体" w:eastAsia="黑体"/>
        </w:rPr>
      </w:pPr>
    </w:p>
    <w:p>
      <w:pPr>
        <w:rPr>
          <w:rFonts w:ascii="黑体" w:hAnsi="黑体" w:eastAsia="黑体"/>
        </w:rPr>
      </w:pPr>
    </w:p>
    <w:p>
      <w:pPr>
        <w:pStyle w:val="19"/>
        <w:rPr>
          <w:rFonts w:ascii="黑体" w:hAnsi="黑体" w:eastAsia="黑体"/>
        </w:rPr>
      </w:pPr>
    </w:p>
    <w:p>
      <w:pPr>
        <w:rPr>
          <w:rFonts w:ascii="黑体" w:hAnsi="黑体" w:eastAsia="黑体"/>
        </w:rPr>
      </w:pPr>
    </w:p>
    <w:p>
      <w:pPr>
        <w:pStyle w:val="19"/>
        <w:rPr>
          <w:rFonts w:ascii="黑体" w:hAnsi="黑体" w:eastAsia="黑体"/>
        </w:rPr>
      </w:pPr>
    </w:p>
    <w:p>
      <w:pPr>
        <w:rPr>
          <w:rFonts w:ascii="黑体" w:hAnsi="黑体" w:eastAsia="黑体"/>
        </w:rPr>
      </w:pPr>
    </w:p>
    <w:p>
      <w:pPr>
        <w:pStyle w:val="19"/>
        <w:rPr>
          <w:rFonts w:ascii="黑体" w:hAnsi="黑体" w:eastAsia="黑体"/>
        </w:rPr>
      </w:pPr>
    </w:p>
    <w:p>
      <w:pPr>
        <w:rPr>
          <w:rFonts w:ascii="黑体" w:hAnsi="黑体" w:eastAsia="黑体"/>
        </w:rPr>
      </w:pPr>
    </w:p>
    <w:p>
      <w:pPr>
        <w:pStyle w:val="19"/>
        <w:rPr>
          <w:rFonts w:ascii="黑体" w:hAnsi="黑体" w:eastAsia="黑体"/>
        </w:rPr>
      </w:pPr>
    </w:p>
    <w:p>
      <w:pPr>
        <w:rPr>
          <w:rFonts w:ascii="黑体" w:hAnsi="黑体" w:eastAsia="黑体"/>
        </w:rPr>
      </w:pPr>
    </w:p>
    <w:p>
      <w:pPr>
        <w:pStyle w:val="19"/>
      </w:pPr>
    </w:p>
    <w:p>
      <w:pPr>
        <w:pStyle w:val="3"/>
        <w:spacing w:before="0"/>
        <w:jc w:val="center"/>
        <w:rPr>
          <w:rFonts w:ascii="黑体" w:hAnsi="黑体" w:eastAsia="黑体"/>
          <w:b w:val="0"/>
        </w:rPr>
      </w:pPr>
      <w:r>
        <w:rPr>
          <w:rFonts w:hint="eastAsia" w:ascii="黑体" w:hAnsi="黑体" w:eastAsia="黑体"/>
          <w:b w:val="0"/>
        </w:rPr>
        <w:t>第三部分 名</w:t>
      </w:r>
      <w:r>
        <w:rPr>
          <w:rFonts w:hint="eastAsia" w:ascii="黑体" w:hAnsi="黑体" w:eastAsia="黑体"/>
          <w:b w:val="0"/>
          <w:bCs w:val="0"/>
        </w:rPr>
        <w:t>词解释</w:t>
      </w:r>
      <w:bookmarkEnd w:id="59"/>
      <w:bookmarkEnd w:id="60"/>
    </w:p>
    <w:p>
      <w:pPr>
        <w:pStyle w:val="28"/>
        <w:spacing w:line="576" w:lineRule="exact"/>
        <w:ind w:firstLine="640" w:firstLineChars="200"/>
        <w:rPr>
          <w:rFonts w:ascii="仿宋_GB2312" w:eastAsia="仿宋_GB2312"/>
          <w:sz w:val="32"/>
          <w:szCs w:val="32"/>
        </w:rPr>
      </w:pPr>
      <w:bookmarkStart w:id="61" w:name="_Toc15377226"/>
      <w:r>
        <w:rPr>
          <w:rFonts w:hint="eastAsia" w:ascii="仿宋_GB2312" w:eastAsia="仿宋_GB2312"/>
          <w:sz w:val="32"/>
          <w:szCs w:val="32"/>
        </w:rPr>
        <w:t>1.财政拨款收入：指单位从同级财政部门取得的财政预算资金。</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2.一般公共服务（类）纪检监察事务（款）行政运行（项）：指单位用于保障机构正常运行、开展日常工作的基本支出。</w:t>
      </w:r>
    </w:p>
    <w:p>
      <w:pPr>
        <w:pStyle w:val="28"/>
        <w:spacing w:line="576" w:lineRule="exact"/>
        <w:ind w:firstLine="640" w:firstLineChars="200"/>
        <w:rPr>
          <w:rFonts w:ascii="仿宋_GB2312" w:eastAsia="仿宋_GB2312"/>
          <w:sz w:val="32"/>
          <w:szCs w:val="32"/>
        </w:rPr>
      </w:pPr>
      <w:r>
        <w:rPr>
          <w:rFonts w:hint="eastAsia" w:ascii="仿宋_GB2312" w:eastAsia="仿宋_GB2312"/>
          <w:sz w:val="32"/>
          <w:szCs w:val="32"/>
        </w:rPr>
        <w:t>3.一般公共服务（类）纪检监察事务（款）大案要案查处（项）：指日常案件查办支出。</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4.一般公共服务（类）纪检监察事务（款）其他纪检监察事务支出（项）：指开展其他纪检监察事务方面专门性工作任务的支出。</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5.一般公共服务（类）纪检监察事务（款）事业运行（项）：指事业人员相关支出。</w:t>
      </w:r>
    </w:p>
    <w:p>
      <w:pPr>
        <w:spacing w:line="576" w:lineRule="exact"/>
        <w:ind w:firstLine="640" w:firstLineChars="200"/>
        <w:rPr>
          <w:sz w:val="32"/>
          <w:szCs w:val="32"/>
        </w:rPr>
      </w:pPr>
      <w:r>
        <w:rPr>
          <w:rFonts w:hint="eastAsia" w:ascii="仿宋_GB2312" w:eastAsia="仿宋_GB2312"/>
          <w:color w:val="000000"/>
          <w:sz w:val="32"/>
          <w:szCs w:val="32"/>
        </w:rPr>
        <w:t>6.一般公共服务（类）纪检监察事务（款）派驻派出机构（项）：指镇街道纪检人员办案补贴。</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7.社会保障和就业（类）行政事业单位离退休（款）行政单位离退休（项）：指用于离退休人员的支出。</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8.社会保障和就业（类）行政事业单位离退休（款）机关事业单位基本养老保险缴费支出（项）：指用于机关人员机关养老保险支出。</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9.社会保障和就业（类）其他社会保障和就业（款）其他社会保障和就业支出（项）：指事业人员及工勤人员社会保险支出。</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10.卫生健康（类）行政事业单位医疗（款）行政单位医疗（项）：指单位用于缴纳单位基本医疗保险支出。</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11.卫生健康（类）行政事业单位医疗（款）公务员医疗补助（项）：指单位用于集中缴纳公务员医疗补助支出。</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12.住房保障支出(类)住房改革支出(款)住房公积金(项): 指单位用于缴纳住房公积金支出。</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13.机关运行经费：为保障行政单位运行用于购买货物和服务的各项资金，包括办公及邮电费、差旅费、福利费、日常维修费、专用材料及一般设备购置费、公务用车运行维护费以及其他费用。</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spacing w:line="576" w:lineRule="exact"/>
        <w:ind w:firstLine="640" w:firstLineChars="200"/>
        <w:rPr>
          <w:sz w:val="32"/>
          <w:szCs w:val="32"/>
        </w:rPr>
      </w:pPr>
      <w:r>
        <w:rPr>
          <w:rFonts w:hint="eastAsia" w:ascii="仿宋_GB2312" w:eastAsia="仿宋_GB2312"/>
          <w:sz w:val="32"/>
          <w:szCs w:val="32"/>
        </w:rPr>
        <w:t xml:space="preserve">15.项目支出：指在基本支出之外为完成特定行政任务和事业发展目标所发生的支出。 </w:t>
      </w:r>
    </w:p>
    <w:p>
      <w:pPr>
        <w:pStyle w:val="28"/>
        <w:spacing w:line="576" w:lineRule="exact"/>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76"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spacing w:beforeLines="0" w:line="600" w:lineRule="exact"/>
        <w:ind w:firstLine="640" w:firstLineChars="200"/>
        <w:rPr>
          <w:sz w:val="32"/>
        </w:rPr>
      </w:pPr>
    </w:p>
    <w:p>
      <w:pPr>
        <w:pStyle w:val="3"/>
        <w:spacing w:before="0"/>
        <w:jc w:val="center"/>
        <w:rPr>
          <w:rStyle w:val="30"/>
          <w:rFonts w:ascii="仿宋_GB2312" w:hAnsi="Calibri" w:eastAsia="仿宋_GB2312"/>
          <w:b/>
          <w:bCs/>
          <w:kern w:val="0"/>
          <w:sz w:val="32"/>
          <w:szCs w:val="32"/>
        </w:rPr>
      </w:pPr>
      <w:r>
        <w:rPr>
          <w:rFonts w:ascii="宋体"/>
        </w:rPr>
        <w:br w:type="page"/>
      </w:r>
      <w:bookmarkStart w:id="62" w:name="_Toc15396614"/>
      <w:r>
        <w:rPr>
          <w:rFonts w:hint="eastAsia" w:ascii="黑体" w:hAnsi="黑体" w:eastAsia="黑体"/>
          <w:b w:val="0"/>
        </w:rPr>
        <w:t>第四部分 附件</w:t>
      </w:r>
      <w:bookmarkEnd w:id="62"/>
    </w:p>
    <w:p>
      <w:pPr>
        <w:spacing w:line="600"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附件1</w:t>
      </w:r>
    </w:p>
    <w:p>
      <w:pPr>
        <w:widowControl/>
        <w:spacing w:line="600" w:lineRule="exact"/>
        <w:contextualSpacing/>
        <w:jc w:val="center"/>
        <w:rPr>
          <w:rFonts w:ascii="方正小标宋简体" w:hAnsi="宋体" w:eastAsia="方正小标宋简体"/>
          <w:sz w:val="40"/>
          <w:szCs w:val="40"/>
          <w:shd w:val="clear" w:color="auto" w:fill="FFFFFF"/>
        </w:rPr>
      </w:pPr>
      <w:r>
        <w:rPr>
          <w:rFonts w:hint="eastAsia" w:ascii="方正小标宋简体" w:hAnsi="宋体" w:eastAsia="方正小标宋简体"/>
          <w:sz w:val="40"/>
          <w:szCs w:val="40"/>
          <w:shd w:val="clear" w:color="auto" w:fill="FFFFFF"/>
        </w:rPr>
        <w:t>2022年度区纪委部门整体绩效评价报告</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adjustRightInd w:val="0"/>
        <w:snapToGrid w:val="0"/>
        <w:spacing w:line="576" w:lineRule="exact"/>
        <w:ind w:firstLine="640" w:firstLineChars="200"/>
        <w:contextualSpacing/>
        <w:rPr>
          <w:rFonts w:ascii="黑体" w:hAnsi="黑体" w:eastAsia="黑体" w:cs="宋体"/>
          <w:kern w:val="0"/>
          <w:sz w:val="32"/>
          <w:szCs w:val="32"/>
          <w:shd w:val="clear" w:color="auto" w:fill="FFFFFF"/>
        </w:rPr>
      </w:pPr>
      <w:r>
        <w:rPr>
          <w:rFonts w:hint="eastAsia" w:ascii="黑体" w:hAnsi="黑体" w:eastAsia="黑体" w:cs="宋体"/>
          <w:kern w:val="0"/>
          <w:sz w:val="32"/>
          <w:szCs w:val="32"/>
          <w:shd w:val="clear" w:color="auto" w:fill="FFFFFF"/>
        </w:rPr>
        <w:t>一、部门基本情况</w:t>
      </w:r>
    </w:p>
    <w:p>
      <w:pPr>
        <w:snapToGrid w:val="0"/>
        <w:spacing w:line="576" w:lineRule="exact"/>
        <w:ind w:firstLine="643" w:firstLineChars="200"/>
        <w:rPr>
          <w:rFonts w:ascii="仿宋_GB2312" w:hAnsi="楷体_GB2312" w:eastAsia="仿宋_GB2312" w:cs="楷体_GB2312"/>
          <w:b/>
          <w:bCs/>
          <w:kern w:val="0"/>
          <w:sz w:val="32"/>
          <w:szCs w:val="32"/>
          <w:shd w:val="clear" w:color="auto" w:fill="FFFFFF"/>
          <w:lang w:val="zh-CN"/>
        </w:rPr>
      </w:pPr>
      <w:r>
        <w:rPr>
          <w:rFonts w:hint="eastAsia" w:ascii="仿宋_GB2312" w:hAnsi="楷体_GB2312" w:eastAsia="仿宋_GB2312" w:cs="楷体_GB2312"/>
          <w:b/>
          <w:bCs/>
          <w:kern w:val="0"/>
          <w:sz w:val="32"/>
          <w:szCs w:val="32"/>
          <w:shd w:val="clear" w:color="auto" w:fill="FFFFFF"/>
          <w:lang w:val="zh-CN"/>
        </w:rPr>
        <w:t>（一）机构组成。</w:t>
      </w:r>
    </w:p>
    <w:p>
      <w:pPr>
        <w:pStyle w:val="28"/>
        <w:spacing w:line="576" w:lineRule="exact"/>
        <w:ind w:firstLine="640" w:firstLineChars="200"/>
        <w:rPr>
          <w:rFonts w:ascii="仿宋_GB2312" w:eastAsia="仿宋_GB2312"/>
          <w:sz w:val="32"/>
          <w:szCs w:val="32"/>
          <w:lang w:val="zh-CN"/>
        </w:rPr>
      </w:pPr>
      <w:r>
        <w:rPr>
          <w:rFonts w:hint="eastAsia" w:ascii="仿宋_GB2312" w:eastAsia="仿宋_GB2312"/>
          <w:sz w:val="32"/>
          <w:szCs w:val="32"/>
        </w:rPr>
        <w:t>区纪委为党委部门与区监委合署办公，2022年区委巡察办撤销一级预算单位，并入区纪委。</w:t>
      </w:r>
    </w:p>
    <w:p>
      <w:pPr>
        <w:widowControl/>
        <w:numPr>
          <w:ilvl w:val="0"/>
          <w:numId w:val="1"/>
        </w:numPr>
        <w:snapToGrid w:val="0"/>
        <w:spacing w:line="576" w:lineRule="exact"/>
        <w:ind w:firstLine="643" w:firstLineChars="200"/>
        <w:contextualSpacing/>
        <w:jc w:val="left"/>
        <w:rPr>
          <w:rFonts w:ascii="仿宋_GB2312" w:hAnsi="楷体_GB2312" w:eastAsia="仿宋_GB2312" w:cs="楷体_GB2312"/>
          <w:b/>
          <w:bCs/>
          <w:kern w:val="0"/>
          <w:sz w:val="32"/>
          <w:szCs w:val="32"/>
          <w:shd w:val="clear" w:color="auto" w:fill="FFFFFF"/>
          <w:lang w:val="zh-CN"/>
        </w:rPr>
      </w:pPr>
      <w:r>
        <w:rPr>
          <w:rFonts w:hint="eastAsia" w:ascii="仿宋_GB2312" w:hAnsi="楷体_GB2312" w:eastAsia="仿宋_GB2312" w:cs="楷体_GB2312"/>
          <w:b/>
          <w:bCs/>
          <w:kern w:val="0"/>
          <w:sz w:val="32"/>
          <w:szCs w:val="32"/>
          <w:shd w:val="clear" w:color="auto" w:fill="FFFFFF"/>
          <w:lang w:val="zh-CN"/>
        </w:rPr>
        <w:t>机构职能和人员概况。</w:t>
      </w:r>
    </w:p>
    <w:p>
      <w:pPr>
        <w:pStyle w:val="28"/>
        <w:spacing w:line="576" w:lineRule="exact"/>
        <w:ind w:firstLine="640" w:firstLineChars="200"/>
        <w:rPr>
          <w:rFonts w:ascii="仿宋_GB2312" w:eastAsia="仿宋_GB2312"/>
          <w:sz w:val="32"/>
          <w:szCs w:val="32"/>
          <w:lang w:val="zh-CN"/>
        </w:rPr>
      </w:pPr>
      <w:r>
        <w:rPr>
          <w:rFonts w:hint="eastAsia" w:ascii="仿宋_GB2312" w:eastAsia="仿宋_GB2312"/>
          <w:sz w:val="32"/>
          <w:szCs w:val="32"/>
        </w:rPr>
        <w:t>纪委监督执纪问责，监委监督调查处置。纪委监委是确保党章党规党纪的有效执行，保证党组织的充分履行职能、发挥领导作用，保证全体党员发挥先锋模范作用、党的干部发挥示范带头作用，保证国家公职人员依法履行、秉公用权的组织。</w:t>
      </w:r>
    </w:p>
    <w:p>
      <w:pPr>
        <w:widowControl/>
        <w:adjustRightInd w:val="0"/>
        <w:snapToGrid w:val="0"/>
        <w:spacing w:line="576" w:lineRule="exact"/>
        <w:ind w:firstLine="643" w:firstLineChars="200"/>
        <w:contextualSpacing/>
        <w:rPr>
          <w:rFonts w:ascii="仿宋_GB2312" w:hAnsi="楷体_GB2312" w:eastAsia="仿宋_GB2312" w:cs="楷体_GB2312"/>
          <w:b/>
          <w:bCs/>
          <w:kern w:val="0"/>
          <w:sz w:val="32"/>
          <w:szCs w:val="32"/>
          <w:shd w:val="clear" w:color="auto" w:fill="FFFFFF"/>
          <w:lang w:val="zh-CN"/>
        </w:rPr>
      </w:pPr>
      <w:r>
        <w:rPr>
          <w:rFonts w:hint="eastAsia" w:ascii="仿宋_GB2312" w:hAnsi="楷体_GB2312" w:eastAsia="仿宋_GB2312" w:cs="楷体_GB2312"/>
          <w:b/>
          <w:bCs/>
          <w:kern w:val="0"/>
          <w:sz w:val="32"/>
          <w:szCs w:val="32"/>
          <w:shd w:val="clear" w:color="auto" w:fill="FFFFFF"/>
          <w:lang w:val="zh-CN"/>
        </w:rPr>
        <w:t>（三）2022年度主要工作任务。</w:t>
      </w:r>
    </w:p>
    <w:p>
      <w:pPr>
        <w:pStyle w:val="19"/>
        <w:spacing w:line="576" w:lineRule="exact"/>
        <w:ind w:firstLine="640" w:firstLineChars="200"/>
        <w:rPr>
          <w:sz w:val="32"/>
          <w:szCs w:val="32"/>
          <w:lang w:val="en-US" w:bidi="ar-SA"/>
        </w:rPr>
      </w:pPr>
      <w:r>
        <w:rPr>
          <w:rFonts w:hint="eastAsia"/>
          <w:sz w:val="32"/>
          <w:szCs w:val="32"/>
          <w:lang w:val="en-US" w:bidi="ar-SA"/>
        </w:rPr>
        <w:t>1.深入推进政治监督，忠诚践行“两个维护”。</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2.持之以恒标本兼治，一体推进“三不腐”。</w:t>
      </w:r>
    </w:p>
    <w:p>
      <w:pPr>
        <w:pStyle w:val="19"/>
        <w:spacing w:line="576" w:lineRule="exact"/>
        <w:ind w:firstLine="640" w:firstLineChars="200"/>
        <w:rPr>
          <w:sz w:val="32"/>
          <w:szCs w:val="32"/>
          <w:lang w:val="en-US" w:bidi="ar-SA"/>
        </w:rPr>
      </w:pPr>
      <w:r>
        <w:rPr>
          <w:rFonts w:hint="eastAsia"/>
          <w:sz w:val="32"/>
          <w:szCs w:val="32"/>
          <w:lang w:val="en-US" w:bidi="ar-SA"/>
        </w:rPr>
        <w:t>3.聚焦民生重点领域，整治群众身边腐败和不正之风。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4.坚持政治巡察定位，推进巡察高质量发展。</w:t>
      </w:r>
    </w:p>
    <w:p>
      <w:pPr>
        <w:pStyle w:val="19"/>
        <w:spacing w:line="576" w:lineRule="exact"/>
        <w:ind w:firstLine="640" w:firstLineChars="200"/>
      </w:pPr>
      <w:r>
        <w:rPr>
          <w:rFonts w:hint="eastAsia"/>
          <w:sz w:val="32"/>
          <w:szCs w:val="32"/>
          <w:lang w:val="en-US" w:bidi="ar-SA"/>
        </w:rPr>
        <w:t>5.强化干部队伍建设，充分解放思想激励担当。</w:t>
      </w:r>
    </w:p>
    <w:p>
      <w:pPr>
        <w:widowControl/>
        <w:adjustRightInd w:val="0"/>
        <w:snapToGrid w:val="0"/>
        <w:spacing w:line="576" w:lineRule="exact"/>
        <w:ind w:firstLine="643" w:firstLineChars="200"/>
        <w:contextualSpacing/>
        <w:rPr>
          <w:rFonts w:ascii="仿宋_GB2312" w:hAnsi="楷体_GB2312" w:eastAsia="仿宋_GB2312" w:cs="楷体_GB2312"/>
          <w:b/>
          <w:bCs/>
          <w:kern w:val="0"/>
          <w:sz w:val="32"/>
          <w:szCs w:val="32"/>
          <w:shd w:val="clear" w:color="auto" w:fill="FFFFFF"/>
          <w:lang w:val="zh-CN"/>
        </w:rPr>
      </w:pPr>
      <w:r>
        <w:rPr>
          <w:rFonts w:hint="eastAsia" w:ascii="仿宋_GB2312" w:hAnsi="楷体_GB2312" w:eastAsia="仿宋_GB2312" w:cs="楷体_GB2312"/>
          <w:b/>
          <w:bCs/>
          <w:kern w:val="0"/>
          <w:sz w:val="32"/>
          <w:szCs w:val="32"/>
          <w:shd w:val="clear" w:color="auto" w:fill="FFFFFF"/>
          <w:lang w:val="zh-CN"/>
        </w:rPr>
        <w:t>（四）部门整体支出绩效目标。</w:t>
      </w:r>
    </w:p>
    <w:p>
      <w:pPr>
        <w:pStyle w:val="19"/>
        <w:spacing w:line="576" w:lineRule="exact"/>
        <w:ind w:firstLine="640" w:firstLineChars="200"/>
      </w:pPr>
      <w:r>
        <w:rPr>
          <w:rFonts w:hint="eastAsia"/>
          <w:sz w:val="32"/>
          <w:szCs w:val="32"/>
          <w:lang w:bidi="ar-SA"/>
        </w:rPr>
        <w:t>确保党章党规党纪的有效执行，保证党组织的充分履行职能、发挥领导作用，保证全体党员发挥先锋模范作用、党的干部发挥示范带头作用，保证国家公职人员依法履行、秉公用权。</w:t>
      </w:r>
    </w:p>
    <w:p>
      <w:pPr>
        <w:widowControl/>
        <w:adjustRightInd w:val="0"/>
        <w:snapToGrid w:val="0"/>
        <w:spacing w:line="576" w:lineRule="exact"/>
        <w:ind w:firstLine="640" w:firstLineChars="200"/>
        <w:contextualSpacing/>
        <w:rPr>
          <w:rFonts w:ascii="黑体" w:hAnsi="黑体" w:eastAsia="黑体" w:cs="宋体"/>
          <w:kern w:val="0"/>
          <w:sz w:val="32"/>
          <w:szCs w:val="32"/>
          <w:shd w:val="clear" w:color="auto" w:fill="FFFFFF"/>
        </w:rPr>
      </w:pPr>
      <w:r>
        <w:rPr>
          <w:rFonts w:hint="eastAsia" w:ascii="黑体" w:hAnsi="黑体" w:eastAsia="黑体" w:cs="宋体"/>
          <w:kern w:val="0"/>
          <w:sz w:val="32"/>
          <w:szCs w:val="32"/>
          <w:shd w:val="clear" w:color="auto" w:fill="FFFFFF"/>
        </w:rPr>
        <w:t>二、部门资金收支情况</w:t>
      </w:r>
    </w:p>
    <w:p>
      <w:pPr>
        <w:widowControl/>
        <w:adjustRightInd w:val="0"/>
        <w:snapToGrid w:val="0"/>
        <w:spacing w:line="576" w:lineRule="exact"/>
        <w:ind w:firstLine="643" w:firstLineChars="200"/>
        <w:contextualSpacing/>
        <w:rPr>
          <w:rFonts w:ascii="仿宋_GB2312" w:hAnsi="楷体_GB2312" w:eastAsia="仿宋_GB2312" w:cs="楷体_GB2312"/>
          <w:b/>
          <w:bCs/>
          <w:kern w:val="0"/>
          <w:sz w:val="32"/>
          <w:szCs w:val="32"/>
          <w:shd w:val="clear" w:color="auto" w:fill="FFFFFF"/>
          <w:lang w:val="zh-CN"/>
        </w:rPr>
      </w:pPr>
      <w:r>
        <w:rPr>
          <w:rFonts w:hint="eastAsia" w:ascii="仿宋_GB2312" w:hAnsi="楷体_GB2312" w:eastAsia="仿宋_GB2312" w:cs="楷体_GB2312"/>
          <w:b/>
          <w:bCs/>
          <w:kern w:val="0"/>
          <w:sz w:val="32"/>
          <w:szCs w:val="32"/>
          <w:shd w:val="clear" w:color="auto" w:fill="FFFFFF"/>
          <w:lang w:val="zh-CN"/>
        </w:rPr>
        <w:t>（一）部门总体收支情况。</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1.部门总体收入情况</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2022年区纪委财政拨款收入总额为</w:t>
      </w:r>
      <w:r>
        <w:rPr>
          <w:rFonts w:hint="eastAsia" w:ascii="仿宋_GB2312" w:hAnsi="仿宋_GB2312" w:eastAsia="仿宋_GB2312" w:cs="仿宋_GB2312"/>
          <w:sz w:val="32"/>
          <w:szCs w:val="32"/>
        </w:rPr>
        <w:t>2082.61</w:t>
      </w:r>
      <w:r>
        <w:rPr>
          <w:rFonts w:hint="eastAsia" w:ascii="仿宋_GB2312" w:hAnsi="仿宋_GB2312" w:eastAsia="仿宋_GB2312" w:cs="仿宋_GB2312"/>
          <w:sz w:val="32"/>
          <w:szCs w:val="32"/>
          <w:lang w:val="zh-CN"/>
        </w:rPr>
        <w:t>万元，均为一般公共预算财政拨款收入。</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2.部门总体支出情况</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2022年一般公共预算财政拨款支出</w:t>
      </w:r>
      <w:r>
        <w:rPr>
          <w:rFonts w:hint="eastAsia" w:ascii="仿宋_GB2312" w:hAnsi="仿宋_GB2312" w:eastAsia="仿宋_GB2312" w:cs="仿宋_GB2312"/>
          <w:sz w:val="32"/>
          <w:szCs w:val="32"/>
        </w:rPr>
        <w:t>2082.61</w:t>
      </w:r>
      <w:r>
        <w:rPr>
          <w:rFonts w:hint="eastAsia" w:ascii="仿宋_GB2312" w:hAnsi="仿宋_GB2312" w:eastAsia="仿宋_GB2312" w:cs="仿宋_GB2312"/>
          <w:sz w:val="32"/>
          <w:szCs w:val="32"/>
          <w:lang w:val="zh-CN"/>
        </w:rPr>
        <w:t>万元，总体实现收支平衡。</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3.部门总体结转结余情况</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2022年无结余结转资金。</w:t>
      </w:r>
    </w:p>
    <w:p>
      <w:pPr>
        <w:widowControl/>
        <w:adjustRightInd w:val="0"/>
        <w:snapToGrid w:val="0"/>
        <w:spacing w:line="576" w:lineRule="exact"/>
        <w:ind w:firstLine="643" w:firstLineChars="200"/>
        <w:contextualSpacing/>
        <w:rPr>
          <w:rFonts w:ascii="仿宋_GB2312" w:hAnsi="楷体_GB2312" w:eastAsia="仿宋_GB2312" w:cs="楷体_GB2312"/>
          <w:b/>
          <w:bCs/>
          <w:kern w:val="0"/>
          <w:sz w:val="32"/>
          <w:szCs w:val="32"/>
          <w:shd w:val="clear" w:color="auto" w:fill="FFFFFF"/>
          <w:lang w:val="zh-CN"/>
        </w:rPr>
      </w:pPr>
      <w:r>
        <w:rPr>
          <w:rFonts w:hint="eastAsia" w:ascii="仿宋_GB2312" w:hAnsi="楷体_GB2312" w:eastAsia="仿宋_GB2312" w:cs="楷体_GB2312"/>
          <w:b/>
          <w:bCs/>
          <w:kern w:val="0"/>
          <w:sz w:val="32"/>
          <w:szCs w:val="32"/>
          <w:shd w:val="clear" w:color="auto" w:fill="FFFFFF"/>
          <w:lang w:val="zh-CN"/>
        </w:rPr>
        <w:t>（二）部门财政拨款收支情况。</w:t>
      </w:r>
    </w:p>
    <w:p>
      <w:pPr>
        <w:widowControl/>
        <w:adjustRightInd w:val="0"/>
        <w:snapToGrid w:val="0"/>
        <w:spacing w:line="576"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1.部门财政拨款收入情况</w:t>
      </w:r>
    </w:p>
    <w:p>
      <w:pPr>
        <w:widowControl/>
        <w:adjustRightInd w:val="0"/>
        <w:snapToGrid w:val="0"/>
        <w:spacing w:line="576"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zh-CN"/>
        </w:rPr>
        <w:t>年区纪委财政拨款收入总额为</w:t>
      </w:r>
      <w:r>
        <w:rPr>
          <w:rFonts w:hint="eastAsia" w:ascii="仿宋_GB2312" w:hAnsi="仿宋_GB2312" w:eastAsia="仿宋_GB2312" w:cs="仿宋_GB2312"/>
          <w:sz w:val="32"/>
          <w:szCs w:val="32"/>
        </w:rPr>
        <w:t>2082.61</w:t>
      </w:r>
      <w:r>
        <w:rPr>
          <w:rFonts w:hint="eastAsia" w:ascii="仿宋_GB2312" w:hAnsi="仿宋_GB2312" w:eastAsia="仿宋_GB2312" w:cs="仿宋_GB2312"/>
          <w:sz w:val="32"/>
          <w:szCs w:val="32"/>
          <w:lang w:val="zh-CN"/>
        </w:rPr>
        <w:t>万元，均为财政拨款收入。</w:t>
      </w:r>
    </w:p>
    <w:p>
      <w:pPr>
        <w:widowControl/>
        <w:adjustRightInd w:val="0"/>
        <w:snapToGrid w:val="0"/>
        <w:spacing w:line="576"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2.部门财政拨款支出情况</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年一般公共预算财政拨款支出</w:t>
      </w:r>
      <w:r>
        <w:rPr>
          <w:rFonts w:hint="eastAsia" w:ascii="仿宋_GB2312" w:hAnsi="仿宋_GB2312" w:eastAsia="仿宋_GB2312" w:cs="仿宋_GB2312"/>
          <w:sz w:val="32"/>
          <w:szCs w:val="32"/>
        </w:rPr>
        <w:t>2082.61</w:t>
      </w:r>
      <w:r>
        <w:rPr>
          <w:rFonts w:hint="eastAsia" w:ascii="仿宋_GB2312" w:hAnsi="仿宋_GB2312" w:eastAsia="仿宋_GB2312" w:cs="仿宋_GB2312"/>
          <w:sz w:val="32"/>
          <w:szCs w:val="32"/>
          <w:lang w:val="zh-CN"/>
        </w:rPr>
        <w:t>万元，均为财政拨款支出。</w:t>
      </w:r>
    </w:p>
    <w:p>
      <w:pPr>
        <w:widowControl/>
        <w:adjustRightInd w:val="0"/>
        <w:snapToGrid w:val="0"/>
        <w:spacing w:line="576"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3.部门财政拨款结转结余情况</w:t>
      </w:r>
    </w:p>
    <w:p>
      <w:pPr>
        <w:widowControl/>
        <w:adjustRightInd w:val="0"/>
        <w:snapToGrid w:val="0"/>
        <w:spacing w:line="576"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2022年无财政拨款结余结转资金。</w:t>
      </w:r>
    </w:p>
    <w:p>
      <w:pPr>
        <w:widowControl/>
        <w:adjustRightInd w:val="0"/>
        <w:snapToGrid w:val="0"/>
        <w:spacing w:line="576" w:lineRule="exact"/>
        <w:ind w:firstLine="640" w:firstLineChars="200"/>
        <w:contextualSpacing/>
        <w:rPr>
          <w:rFonts w:ascii="黑体" w:hAnsi="黑体" w:eastAsia="黑体" w:cs="宋体"/>
          <w:kern w:val="0"/>
          <w:sz w:val="32"/>
          <w:szCs w:val="32"/>
          <w:shd w:val="clear" w:color="auto" w:fill="FFFFFF"/>
        </w:rPr>
      </w:pPr>
      <w:r>
        <w:rPr>
          <w:rFonts w:hint="eastAsia" w:ascii="黑体" w:hAnsi="黑体" w:eastAsia="黑体" w:cs="宋体"/>
          <w:kern w:val="0"/>
          <w:sz w:val="32"/>
          <w:szCs w:val="32"/>
          <w:shd w:val="clear" w:color="auto" w:fill="FFFFFF"/>
        </w:rPr>
        <w:t>三、部门整体绩效分析</w:t>
      </w:r>
    </w:p>
    <w:p>
      <w:pPr>
        <w:widowControl/>
        <w:adjustRightInd w:val="0"/>
        <w:snapToGrid w:val="0"/>
        <w:spacing w:line="576" w:lineRule="exact"/>
        <w:ind w:firstLine="643" w:firstLineChars="200"/>
        <w:contextualSpacing/>
        <w:rPr>
          <w:rFonts w:ascii="仿宋_GB2312" w:hAnsi="楷体_GB2312" w:eastAsia="仿宋_GB2312" w:cs="楷体_GB2312"/>
          <w:b/>
          <w:bCs/>
          <w:kern w:val="0"/>
          <w:sz w:val="32"/>
          <w:szCs w:val="32"/>
          <w:shd w:val="clear" w:color="auto" w:fill="FFFFFF"/>
          <w:lang w:val="zh-CN"/>
        </w:rPr>
      </w:pPr>
      <w:r>
        <w:rPr>
          <w:rFonts w:hint="eastAsia" w:ascii="仿宋_GB2312" w:hAnsi="楷体_GB2312" w:eastAsia="仿宋_GB2312" w:cs="楷体_GB2312"/>
          <w:b/>
          <w:bCs/>
          <w:kern w:val="0"/>
          <w:sz w:val="32"/>
          <w:szCs w:val="32"/>
          <w:shd w:val="clear" w:color="auto" w:fill="FFFFFF"/>
          <w:lang w:val="zh-CN"/>
        </w:rPr>
        <w:t>（一）部门预算项目绩效分析。</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部门绩效目标基本实现、处理及时、执行进度100%、预算完成情况良好。</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1.人员类项目绩效分析</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（1）成本指标。全年支出人员经费1519.2万元。</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（2）时效指标。每月按时发放人员工资，缴纳社会保险及住房公积金。</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（3）质量指标。规范使用各类人员经费。</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2.运转类项目绩效分析</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（1）数量指标。每季度召开述责数量大会一次。</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（2）质量指标。做深做实做细日常监督；锻造忠诚干净担当纪检监察队伍。</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（3）满意度指标。纪检干部满意度得到提升。</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3.特定目标类项目绩效分析</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（1）成本指标。全年共支出特定目标类项目经费247.62万元。</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（2）质量指标。案件办理及时，全年0安全事故发生，问题线索处置率100%，信访举报办结率100%。</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（3）时效指标。案件办理时限达标率95%。</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（4）满意度指标。服务对象满意度98%。</w:t>
      </w:r>
    </w:p>
    <w:p>
      <w:pPr>
        <w:widowControl/>
        <w:adjustRightInd w:val="0"/>
        <w:snapToGrid w:val="0"/>
        <w:spacing w:line="576" w:lineRule="exact"/>
        <w:ind w:firstLine="643" w:firstLineChars="200"/>
        <w:contextualSpacing/>
        <w:rPr>
          <w:rFonts w:ascii="仿宋_GB2312" w:hAnsi="楷体_GB2312" w:eastAsia="仿宋_GB2312" w:cs="楷体_GB2312"/>
          <w:b/>
          <w:bCs/>
          <w:kern w:val="0"/>
          <w:sz w:val="32"/>
          <w:szCs w:val="32"/>
          <w:shd w:val="clear" w:color="auto" w:fill="FFFFFF"/>
          <w:lang w:val="zh-CN"/>
        </w:rPr>
      </w:pPr>
      <w:r>
        <w:rPr>
          <w:rFonts w:hint="eastAsia" w:ascii="仿宋_GB2312" w:hAnsi="楷体_GB2312" w:eastAsia="仿宋_GB2312" w:cs="楷体_GB2312"/>
          <w:b/>
          <w:bCs/>
          <w:kern w:val="0"/>
          <w:sz w:val="32"/>
          <w:szCs w:val="32"/>
          <w:shd w:val="clear" w:color="auto" w:fill="FFFFFF"/>
          <w:lang w:val="zh-CN"/>
        </w:rPr>
        <w:t>（二）部门整体履职绩效分析。</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预算绩效管理要求，区纪委在年初预算编制阶段，对“案件查办”“巡视巡察工作经费”“基层纪检组人员办案补贴”“系统维护和监督检查”的项目预算事前绩效评估，编制了绩效目标，预算执行过程中，开展项目绩效监控，年终执行完毕后，对项目绩效目标完成情况进行了梳理。</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按照相关预算绩效运行监控管理要求，认真组织开展绩效监控工作，对项目进度、预算执行、投入产出、各项效益的阶段完成情况进行动态跟踪监控，进一步明确项目完成目标可能性及时间。</w:t>
      </w:r>
    </w:p>
    <w:p>
      <w:pPr>
        <w:widowControl/>
        <w:adjustRightInd w:val="0"/>
        <w:snapToGrid w:val="0"/>
        <w:spacing w:line="576" w:lineRule="exact"/>
        <w:ind w:firstLine="643" w:firstLineChars="200"/>
        <w:contextualSpacing/>
        <w:rPr>
          <w:rFonts w:ascii="仿宋_GB2312" w:hAnsi="楷体_GB2312" w:eastAsia="仿宋_GB2312" w:cs="楷体_GB2312"/>
          <w:b/>
          <w:bCs/>
          <w:kern w:val="0"/>
          <w:sz w:val="32"/>
          <w:szCs w:val="32"/>
          <w:shd w:val="clear" w:color="auto" w:fill="FFFFFF"/>
          <w:lang w:val="zh-CN"/>
        </w:rPr>
      </w:pPr>
      <w:r>
        <w:rPr>
          <w:rFonts w:hint="eastAsia" w:ascii="仿宋_GB2312" w:hAnsi="楷体_GB2312" w:eastAsia="仿宋_GB2312" w:cs="楷体_GB2312"/>
          <w:b/>
          <w:bCs/>
          <w:kern w:val="0"/>
          <w:sz w:val="32"/>
          <w:szCs w:val="32"/>
          <w:shd w:val="clear" w:color="auto" w:fill="FFFFFF"/>
          <w:lang w:val="zh-CN"/>
        </w:rPr>
        <w:t>（三）结果应用情况。</w:t>
      </w:r>
    </w:p>
    <w:p>
      <w:pPr>
        <w:widowControl/>
        <w:adjustRightInd w:val="0"/>
        <w:snapToGrid w:val="0"/>
        <w:spacing w:line="576"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我委对部门预算绩效管理工作开展情况认真进行了自查自评。绩效评价自查将评价结果作为预算安排的重要依据，参照项目年度预算执行情况统筹支出需求，保障重点支出，调整支出结构，优化财政资金配置，不断强化绩效理念，推动区纪委整体绩效管理水平不断提升。</w:t>
      </w:r>
    </w:p>
    <w:p>
      <w:pPr>
        <w:widowControl/>
        <w:numPr>
          <w:ilvl w:val="0"/>
          <w:numId w:val="2"/>
        </w:numPr>
        <w:adjustRightInd w:val="0"/>
        <w:snapToGrid w:val="0"/>
        <w:spacing w:line="576" w:lineRule="exact"/>
        <w:ind w:firstLine="643" w:firstLineChars="200"/>
        <w:contextualSpacing/>
        <w:rPr>
          <w:rFonts w:ascii="仿宋_GB2312" w:hAnsi="楷体_GB2312" w:eastAsia="仿宋_GB2312" w:cs="楷体_GB2312"/>
          <w:b/>
          <w:bCs/>
          <w:kern w:val="0"/>
          <w:sz w:val="32"/>
          <w:szCs w:val="32"/>
          <w:shd w:val="clear" w:color="auto" w:fill="FFFFFF"/>
          <w:lang w:val="zh-CN"/>
        </w:rPr>
      </w:pPr>
      <w:r>
        <w:rPr>
          <w:rFonts w:hint="eastAsia" w:ascii="仿宋_GB2312" w:hAnsi="楷体_GB2312" w:eastAsia="仿宋_GB2312" w:cs="楷体_GB2312"/>
          <w:b/>
          <w:bCs/>
          <w:kern w:val="0"/>
          <w:sz w:val="32"/>
          <w:szCs w:val="32"/>
          <w:shd w:val="clear" w:color="auto" w:fill="FFFFFF"/>
          <w:lang w:val="zh-CN"/>
        </w:rPr>
        <w:t>自评质量。</w:t>
      </w:r>
    </w:p>
    <w:p>
      <w:pPr>
        <w:widowControl/>
        <w:adjustRightInd w:val="0"/>
        <w:snapToGrid w:val="0"/>
        <w:spacing w:line="576"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整体支出自评安按照最终决算书进行评价，确保数据准确。</w:t>
      </w:r>
    </w:p>
    <w:p>
      <w:pPr>
        <w:widowControl/>
        <w:adjustRightInd w:val="0"/>
        <w:snapToGrid w:val="0"/>
        <w:spacing w:line="576" w:lineRule="exact"/>
        <w:ind w:firstLine="640" w:firstLineChars="200"/>
        <w:contextualSpacing/>
        <w:rPr>
          <w:rFonts w:ascii="黑体" w:hAnsi="黑体" w:eastAsia="黑体" w:cs="宋体"/>
          <w:kern w:val="0"/>
          <w:sz w:val="32"/>
          <w:szCs w:val="32"/>
          <w:shd w:val="clear" w:color="auto" w:fill="FFFFFF"/>
        </w:rPr>
      </w:pPr>
      <w:r>
        <w:rPr>
          <w:rFonts w:hint="eastAsia" w:ascii="黑体" w:hAnsi="黑体" w:eastAsia="黑体" w:cs="宋体"/>
          <w:kern w:val="0"/>
          <w:sz w:val="32"/>
          <w:szCs w:val="32"/>
          <w:shd w:val="clear" w:color="auto" w:fill="FFFFFF"/>
        </w:rPr>
        <w:t>四、评价结论及建议</w:t>
      </w:r>
    </w:p>
    <w:p>
      <w:pPr>
        <w:widowControl/>
        <w:adjustRightInd w:val="0"/>
        <w:snapToGrid w:val="0"/>
        <w:spacing w:line="576" w:lineRule="exact"/>
        <w:ind w:firstLine="643" w:firstLineChars="200"/>
        <w:contextualSpacing/>
        <w:rPr>
          <w:rFonts w:ascii="仿宋_GB2312" w:hAnsi="楷体_GB2312" w:eastAsia="仿宋_GB2312" w:cs="楷体_GB2312"/>
          <w:b/>
          <w:bCs/>
          <w:kern w:val="0"/>
          <w:sz w:val="32"/>
          <w:szCs w:val="32"/>
          <w:shd w:val="clear" w:color="auto" w:fill="FFFFFF"/>
          <w:lang w:val="zh-CN"/>
        </w:rPr>
      </w:pPr>
      <w:r>
        <w:rPr>
          <w:rFonts w:hint="eastAsia" w:ascii="仿宋_GB2312" w:hAnsi="楷体_GB2312" w:eastAsia="仿宋_GB2312" w:cs="楷体_GB2312"/>
          <w:b/>
          <w:bCs/>
          <w:kern w:val="0"/>
          <w:sz w:val="32"/>
          <w:szCs w:val="32"/>
          <w:shd w:val="clear" w:color="auto" w:fill="FFFFFF"/>
          <w:lang w:val="zh-CN"/>
        </w:rPr>
        <w:t>（一）评价结论。</w:t>
      </w:r>
    </w:p>
    <w:p>
      <w:pPr>
        <w:pStyle w:val="14"/>
        <w:spacing w:line="576" w:lineRule="exact"/>
        <w:ind w:left="0" w:leftChars="0" w:firstLine="640" w:firstLineChars="0"/>
        <w:rPr>
          <w:rFonts w:hAnsi="仿宋_GB2312" w:eastAsia="仿宋_GB2312" w:cs="仿宋_GB2312"/>
          <w:color w:val="000000"/>
          <w:kern w:val="0"/>
          <w:sz w:val="32"/>
          <w:shd w:val="clear" w:color="auto" w:fill="FFFFFF"/>
          <w:lang w:val="zh-CN"/>
        </w:rPr>
      </w:pPr>
      <w:r>
        <w:rPr>
          <w:rFonts w:hint="eastAsia" w:hAnsi="仿宋_GB2312" w:eastAsia="仿宋_GB2312" w:cs="仿宋_GB2312"/>
          <w:color w:val="000000"/>
          <w:kern w:val="0"/>
          <w:sz w:val="32"/>
          <w:shd w:val="clear" w:color="auto" w:fill="FFFFFF"/>
          <w:lang w:val="zh-CN"/>
        </w:rPr>
        <w:t>202</w:t>
      </w:r>
      <w:r>
        <w:rPr>
          <w:rFonts w:hint="eastAsia" w:hAnsi="仿宋_GB2312" w:eastAsia="仿宋_GB2312" w:cs="仿宋_GB2312"/>
          <w:color w:val="000000"/>
          <w:kern w:val="0"/>
          <w:sz w:val="32"/>
          <w:shd w:val="clear" w:color="auto" w:fill="FFFFFF"/>
        </w:rPr>
        <w:t>2</w:t>
      </w:r>
      <w:r>
        <w:rPr>
          <w:rFonts w:hint="eastAsia" w:hAnsi="仿宋_GB2312" w:eastAsia="仿宋_GB2312" w:cs="仿宋_GB2312"/>
          <w:color w:val="000000"/>
          <w:kern w:val="0"/>
          <w:sz w:val="32"/>
          <w:shd w:val="clear" w:color="auto" w:fill="FFFFFF"/>
          <w:lang w:val="zh-CN"/>
        </w:rPr>
        <w:t>年我委整体支出绩效评价自查自评结果良好，全年基本支出保证了部门的正常运行和日常工作的正常开展，项目支出保障了专项工作开展，达到预期绩效目标。</w:t>
      </w:r>
    </w:p>
    <w:p>
      <w:pPr>
        <w:widowControl/>
        <w:adjustRightInd w:val="0"/>
        <w:snapToGrid w:val="0"/>
        <w:spacing w:line="576" w:lineRule="exact"/>
        <w:ind w:firstLine="643" w:firstLineChars="200"/>
        <w:contextualSpacing/>
        <w:rPr>
          <w:rFonts w:ascii="仿宋_GB2312" w:hAnsi="楷体_GB2312" w:eastAsia="仿宋_GB2312" w:cs="楷体_GB2312"/>
          <w:b/>
          <w:bCs/>
          <w:kern w:val="0"/>
          <w:sz w:val="32"/>
          <w:szCs w:val="32"/>
          <w:shd w:val="clear" w:color="auto" w:fill="FFFFFF"/>
          <w:lang w:val="zh-CN"/>
        </w:rPr>
      </w:pPr>
      <w:r>
        <w:rPr>
          <w:rFonts w:hint="eastAsia" w:ascii="仿宋_GB2312" w:hAnsi="楷体_GB2312" w:eastAsia="仿宋_GB2312" w:cs="楷体_GB2312"/>
          <w:b/>
          <w:bCs/>
          <w:kern w:val="0"/>
          <w:sz w:val="32"/>
          <w:szCs w:val="32"/>
          <w:shd w:val="clear" w:color="auto" w:fill="FFFFFF"/>
          <w:lang w:val="zh-CN"/>
        </w:rPr>
        <w:t>（二）存在问题。</w:t>
      </w:r>
    </w:p>
    <w:p>
      <w:pPr>
        <w:pStyle w:val="14"/>
        <w:spacing w:line="576" w:lineRule="exact"/>
        <w:ind w:left="0" w:leftChars="0" w:firstLine="640" w:firstLineChars="0"/>
        <w:rPr>
          <w:rFonts w:hAnsi="仿宋_GB2312" w:eastAsia="仿宋_GB2312" w:cs="仿宋_GB2312"/>
          <w:color w:val="000000"/>
          <w:kern w:val="0"/>
          <w:sz w:val="32"/>
          <w:shd w:val="clear" w:color="auto" w:fill="FFFFFF"/>
          <w:lang w:val="zh-CN"/>
        </w:rPr>
      </w:pPr>
      <w:r>
        <w:rPr>
          <w:rFonts w:hint="eastAsia" w:hAnsi="仿宋_GB2312" w:eastAsia="仿宋_GB2312" w:cs="仿宋_GB2312"/>
          <w:color w:val="000000"/>
          <w:kern w:val="0"/>
          <w:sz w:val="32"/>
          <w:shd w:val="clear" w:color="auto" w:fill="FFFFFF"/>
          <w:lang w:val="zh-CN"/>
        </w:rPr>
        <w:t>绩效目标设定有待更科学更合理。</w:t>
      </w:r>
    </w:p>
    <w:p>
      <w:pPr>
        <w:widowControl/>
        <w:adjustRightInd w:val="0"/>
        <w:snapToGrid w:val="0"/>
        <w:spacing w:line="576" w:lineRule="exact"/>
        <w:ind w:firstLine="643" w:firstLineChars="200"/>
        <w:contextualSpacing/>
        <w:rPr>
          <w:rFonts w:ascii="仿宋_GB2312" w:hAnsi="楷体_GB2312" w:eastAsia="仿宋_GB2312" w:cs="楷体_GB2312"/>
          <w:b/>
          <w:bCs/>
          <w:kern w:val="0"/>
          <w:sz w:val="32"/>
          <w:szCs w:val="32"/>
          <w:shd w:val="clear" w:color="auto" w:fill="FFFFFF"/>
          <w:lang w:val="zh-CN"/>
        </w:rPr>
      </w:pPr>
      <w:r>
        <w:rPr>
          <w:rFonts w:hint="eastAsia" w:ascii="仿宋_GB2312" w:hAnsi="楷体_GB2312" w:eastAsia="仿宋_GB2312" w:cs="楷体_GB2312"/>
          <w:b/>
          <w:bCs/>
          <w:kern w:val="0"/>
          <w:sz w:val="32"/>
          <w:szCs w:val="32"/>
          <w:shd w:val="clear" w:color="auto" w:fill="FFFFFF"/>
          <w:lang w:val="zh-CN"/>
        </w:rPr>
        <w:t>（三）改进建议。</w:t>
      </w:r>
    </w:p>
    <w:p>
      <w:pPr>
        <w:widowControl/>
        <w:adjustRightInd w:val="0"/>
        <w:snapToGrid w:val="0"/>
        <w:spacing w:line="576"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针对存在的问题，我们将进一步科学设定绩效目标，加强预算执行管理。一是改进部门收支预算编制，夯实预算基础工作，提高预算编制质量；二是认真研究政策，加强项目绩效目标审核，力求科学合理；三是认真研究重点项目的执行，提高财政资金的使用效益。</w:t>
      </w:r>
    </w:p>
    <w:p>
      <w:pPr>
        <w:pStyle w:val="2"/>
        <w:spacing w:before="93"/>
        <w:rPr>
          <w:lang w:val="zh-CN"/>
        </w:rPr>
      </w:pPr>
    </w:p>
    <w:p>
      <w:pPr>
        <w:pStyle w:val="14"/>
        <w:spacing w:after="0" w:line="600" w:lineRule="exact"/>
        <w:ind w:left="0" w:leftChars="0" w:firstLine="643"/>
        <w:rPr>
          <w:rFonts w:hAnsi="仿宋_GB2312" w:eastAsia="仿宋_GB2312" w:cs="仿宋_GB2312"/>
          <w:b/>
          <w:sz w:val="32"/>
          <w:lang w:val="zh-CN"/>
        </w:rPr>
      </w:pPr>
      <w:r>
        <w:rPr>
          <w:rFonts w:hint="eastAsia" w:hAnsi="仿宋_GB2312" w:eastAsia="仿宋_GB2312" w:cs="仿宋_GB2312"/>
          <w:b/>
          <w:sz w:val="32"/>
        </w:rPr>
        <w:t>附表：部门预算项目支出绩效自评表（2022年度）</w:t>
      </w:r>
    </w:p>
    <w:tbl>
      <w:tblPr>
        <w:tblStyle w:val="15"/>
        <w:tblpPr w:leftFromText="180" w:rightFromText="180" w:vertAnchor="text" w:horzAnchor="page" w:tblpX="1437" w:tblpY="658"/>
        <w:tblOverlap w:val="never"/>
        <w:tblW w:w="9735" w:type="dxa"/>
        <w:tblInd w:w="0" w:type="dxa"/>
        <w:tblLayout w:type="fixed"/>
        <w:tblCellMar>
          <w:top w:w="0" w:type="dxa"/>
          <w:left w:w="0" w:type="dxa"/>
          <w:bottom w:w="0" w:type="dxa"/>
          <w:right w:w="0" w:type="dxa"/>
        </w:tblCellMar>
      </w:tblPr>
      <w:tblGrid>
        <w:gridCol w:w="684"/>
        <w:gridCol w:w="1378"/>
        <w:gridCol w:w="1154"/>
        <w:gridCol w:w="1319"/>
        <w:gridCol w:w="674"/>
        <w:gridCol w:w="674"/>
        <w:gridCol w:w="674"/>
        <w:gridCol w:w="675"/>
        <w:gridCol w:w="674"/>
        <w:gridCol w:w="674"/>
        <w:gridCol w:w="1155"/>
      </w:tblGrid>
      <w:tr>
        <w:tblPrEx>
          <w:tblCellMar>
            <w:top w:w="0" w:type="dxa"/>
            <w:left w:w="0" w:type="dxa"/>
            <w:bottom w:w="0" w:type="dxa"/>
            <w:right w:w="0" w:type="dxa"/>
          </w:tblCellMar>
        </w:tblPrEx>
        <w:trPr>
          <w:trHeight w:val="904" w:hRule="atLeast"/>
        </w:trPr>
        <w:tc>
          <w:tcPr>
            <w:tcW w:w="973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30"/>
                <w:szCs w:val="30"/>
                <w:lang w:bidi="ar"/>
              </w:rPr>
              <w:t>部门预算项目支出绩效自评表（2022年度）</w:t>
            </w:r>
          </w:p>
        </w:tc>
      </w:tr>
      <w:tr>
        <w:tblPrEx>
          <w:tblCellMar>
            <w:top w:w="0" w:type="dxa"/>
            <w:left w:w="0" w:type="dxa"/>
            <w:bottom w:w="0" w:type="dxa"/>
            <w:right w:w="0" w:type="dxa"/>
          </w:tblCellMar>
        </w:tblPrEx>
        <w:trPr>
          <w:trHeight w:val="286" w:hRule="atLeast"/>
        </w:trPr>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w:t>
            </w:r>
          </w:p>
        </w:tc>
        <w:tc>
          <w:tcPr>
            <w:tcW w:w="767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51180222T000000378857-基层纪检人员办案补贴</w:t>
            </w:r>
          </w:p>
        </w:tc>
      </w:tr>
      <w:tr>
        <w:tblPrEx>
          <w:tblCellMar>
            <w:top w:w="0" w:type="dxa"/>
            <w:left w:w="0" w:type="dxa"/>
            <w:bottom w:w="0" w:type="dxa"/>
            <w:right w:w="0" w:type="dxa"/>
          </w:tblCellMar>
        </w:tblPrEx>
        <w:trPr>
          <w:trHeight w:val="512" w:hRule="atLeast"/>
        </w:trPr>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主管部门</w:t>
            </w: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中国共产党雅安市雨城区纪律检查委员会部门</w:t>
            </w:r>
          </w:p>
        </w:tc>
        <w:tc>
          <w:tcPr>
            <w:tcW w:w="67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实施单位 （盖章）</w:t>
            </w:r>
          </w:p>
        </w:tc>
        <w:tc>
          <w:tcPr>
            <w:tcW w:w="25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中国共产党雅安市雨城区纪律检查委员会</w:t>
            </w:r>
          </w:p>
        </w:tc>
      </w:tr>
      <w:tr>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项目基本情况</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项目年度目标</w:t>
            </w:r>
          </w:p>
        </w:tc>
        <w:tc>
          <w:tcPr>
            <w:tcW w:w="31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年度目标完成情况</w:t>
            </w:r>
          </w:p>
        </w:tc>
      </w:tr>
      <w:tr>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基层纪检工作正常开展</w:t>
            </w:r>
          </w:p>
        </w:tc>
        <w:tc>
          <w:tcPr>
            <w:tcW w:w="31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基层纪检工作正常开展</w:t>
            </w:r>
          </w:p>
        </w:tc>
      </w:tr>
      <w:tr>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767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区纪委监委根据镇(街道)纪检人员配备情况核发。由镇(街道)向我委开具非税票据申请拨付资金后分配到具体人员。</w:t>
            </w:r>
          </w:p>
        </w:tc>
      </w:tr>
      <w:tr>
        <w:tblPrEx>
          <w:tblCellMar>
            <w:top w:w="0" w:type="dxa"/>
            <w:left w:w="0" w:type="dxa"/>
            <w:bottom w:w="0" w:type="dxa"/>
            <w:right w:w="0" w:type="dxa"/>
          </w:tblCellMar>
        </w:tblPrEx>
        <w:trPr>
          <w:trHeight w:val="52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年初预算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原因</w:t>
            </w:r>
          </w:p>
        </w:tc>
      </w:tr>
      <w:tr>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6.86</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年中发生预算调整的原因为，根据基层纪检人员实有人数核减。</w:t>
            </w:r>
          </w:p>
        </w:tc>
      </w:tr>
      <w:tr>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6.86</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i/>
                <w:color w:val="000000"/>
                <w:sz w:val="18"/>
                <w:szCs w:val="1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i/>
                <w:color w:val="000000"/>
                <w:sz w:val="18"/>
                <w:szCs w:val="18"/>
              </w:rPr>
            </w:pP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i/>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i/>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绩效指标（90分）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三级指标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指标性质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完成值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相关会议调研次数</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i/>
                <w:color w:val="000000"/>
                <w:sz w:val="18"/>
                <w:szCs w:val="18"/>
              </w:rPr>
            </w:pPr>
          </w:p>
        </w:tc>
      </w:tr>
      <w:tr>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宣讲培训次数</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i/>
                <w:color w:val="000000"/>
                <w:sz w:val="18"/>
                <w:szCs w:val="18"/>
              </w:rPr>
            </w:pPr>
          </w:p>
        </w:tc>
      </w:tr>
      <w:tr>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问题线索处置率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i/>
                <w:color w:val="000000"/>
                <w:sz w:val="18"/>
                <w:szCs w:val="18"/>
              </w:rPr>
            </w:pP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办案人员被投诉次数</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i/>
                <w:color w:val="000000"/>
                <w:sz w:val="18"/>
                <w:szCs w:val="18"/>
              </w:rPr>
            </w:pPr>
          </w:p>
        </w:tc>
      </w:tr>
      <w:tr>
        <w:tblPrEx>
          <w:tblCellMar>
            <w:top w:w="0" w:type="dxa"/>
            <w:left w:w="0" w:type="dxa"/>
            <w:bottom w:w="0" w:type="dxa"/>
            <w:right w:w="0" w:type="dxa"/>
          </w:tblCellMar>
        </w:tblPrEx>
        <w:trPr>
          <w:trHeight w:val="286" w:hRule="atLeast"/>
        </w:trPr>
        <w:tc>
          <w:tcPr>
            <w:tcW w:w="723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评价结论</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项目自评总分100分，项目实施有效提高了基层纪检干部工作效率与实绩，提高了干部工作积极性。。</w:t>
            </w:r>
          </w:p>
        </w:tc>
      </w:tr>
      <w:tr>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存在问题</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有的纪检监察干部能力素质还不够高，工作中存在畏难情绪，不愿监督、不敢监督、不会监督问题依然不同程度存在。</w:t>
            </w:r>
          </w:p>
        </w:tc>
      </w:tr>
      <w:tr>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改进措施</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化全员实务培训，擦亮“纪检监察大讲堂”工作品牌。加强镇（街道）纪（工）委规范化建设，严格落实“两专三兼”，发挥好村（社区）党风政风监督员作用。强化自我监督约束，坚决防止和纠治“灯下黑”，以实际行动践行忠诚干净担当。</w:t>
            </w:r>
          </w:p>
        </w:tc>
      </w:tr>
      <w:tr>
        <w:tblPrEx>
          <w:tblCellMar>
            <w:top w:w="0" w:type="dxa"/>
            <w:left w:w="0" w:type="dxa"/>
            <w:bottom w:w="0" w:type="dxa"/>
            <w:right w:w="0" w:type="dxa"/>
          </w:tblCellMar>
        </w:tblPrEx>
        <w:trPr>
          <w:trHeight w:val="286" w:hRule="atLeast"/>
        </w:trPr>
        <w:tc>
          <w:tcPr>
            <w:tcW w:w="52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项目负责人：崔慧</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财务负责人：杨松弋</w:t>
            </w:r>
          </w:p>
        </w:tc>
      </w:tr>
      <w:tr>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1378" w:type="dxa"/>
            <w:tcBorders>
              <w:top w:val="nil"/>
              <w:left w:val="nil"/>
              <w:bottom w:val="nil"/>
              <w:right w:val="nil"/>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18"/>
                <w:szCs w:val="18"/>
              </w:rPr>
            </w:pPr>
          </w:p>
        </w:tc>
        <w:tc>
          <w:tcPr>
            <w:tcW w:w="115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1319"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675"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r>
      <w:tr>
        <w:tblPrEx>
          <w:tblCellMar>
            <w:top w:w="0" w:type="dxa"/>
            <w:left w:w="0" w:type="dxa"/>
            <w:bottom w:w="0" w:type="dxa"/>
            <w:right w:w="0" w:type="dxa"/>
          </w:tblCellMar>
        </w:tblPrEx>
        <w:trPr>
          <w:trHeight w:val="904" w:hRule="atLeast"/>
        </w:trPr>
        <w:tc>
          <w:tcPr>
            <w:tcW w:w="973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30"/>
                <w:szCs w:val="30"/>
                <w:lang w:bidi="ar"/>
              </w:rPr>
              <w:t>部门预算项目支出绩效自评表（2022年度）</w:t>
            </w:r>
          </w:p>
        </w:tc>
      </w:tr>
      <w:tr>
        <w:tblPrEx>
          <w:tblCellMar>
            <w:top w:w="0" w:type="dxa"/>
            <w:left w:w="0" w:type="dxa"/>
            <w:bottom w:w="0" w:type="dxa"/>
            <w:right w:w="0" w:type="dxa"/>
          </w:tblCellMar>
        </w:tblPrEx>
        <w:trPr>
          <w:trHeight w:val="286" w:hRule="atLeast"/>
        </w:trPr>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w:t>
            </w:r>
          </w:p>
        </w:tc>
        <w:tc>
          <w:tcPr>
            <w:tcW w:w="767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51180222T000000378868-系统维护</w:t>
            </w:r>
          </w:p>
        </w:tc>
      </w:tr>
      <w:tr>
        <w:tblPrEx>
          <w:tblCellMar>
            <w:top w:w="0" w:type="dxa"/>
            <w:left w:w="0" w:type="dxa"/>
            <w:bottom w:w="0" w:type="dxa"/>
            <w:right w:w="0" w:type="dxa"/>
          </w:tblCellMar>
        </w:tblPrEx>
        <w:trPr>
          <w:trHeight w:val="512" w:hRule="atLeast"/>
        </w:trPr>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主管部门</w:t>
            </w: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中国共产党雅安市雨城区纪律检查委员会部门</w:t>
            </w:r>
          </w:p>
        </w:tc>
        <w:tc>
          <w:tcPr>
            <w:tcW w:w="67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实施单位 （盖章）</w:t>
            </w:r>
          </w:p>
        </w:tc>
        <w:tc>
          <w:tcPr>
            <w:tcW w:w="25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中国共产党雅安市雨城区纪律检查委员会</w:t>
            </w:r>
          </w:p>
        </w:tc>
      </w:tr>
      <w:tr>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项目基本情况</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项目年度目标</w:t>
            </w:r>
          </w:p>
        </w:tc>
        <w:tc>
          <w:tcPr>
            <w:tcW w:w="31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年度目标完成情况</w:t>
            </w:r>
          </w:p>
        </w:tc>
      </w:tr>
      <w:tr>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系统正常运行</w:t>
            </w:r>
          </w:p>
        </w:tc>
        <w:tc>
          <w:tcPr>
            <w:tcW w:w="31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系统正常运行保障了机关工作顺利开展</w:t>
            </w:r>
          </w:p>
        </w:tc>
      </w:tr>
      <w:tr>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767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由办公室牵头，负责全单位系统维护。各室部系统出现问题后报办公室联系技术人员解决。</w:t>
            </w:r>
          </w:p>
        </w:tc>
      </w:tr>
      <w:tr>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年初预算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原因</w:t>
            </w:r>
          </w:p>
        </w:tc>
      </w:tr>
      <w:tr>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29.92</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29.92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年中发生预算追加的原因为并入巡察办指标。</w:t>
            </w:r>
          </w:p>
        </w:tc>
      </w:tr>
      <w:tr>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29.92</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29.92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i/>
                <w:color w:val="000000"/>
                <w:sz w:val="18"/>
                <w:szCs w:val="1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i/>
                <w:color w:val="000000"/>
                <w:sz w:val="18"/>
                <w:szCs w:val="18"/>
              </w:rPr>
            </w:pP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i/>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i/>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绩效指标（90分）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三级指标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指标性质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完成值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系统正常运行</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定性</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优良中低差</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良</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系统问题较多</w:t>
            </w:r>
          </w:p>
        </w:tc>
      </w:tr>
      <w:tr>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维护支出</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万元</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29.92</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巡察办并入指标</w:t>
            </w: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定性</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高中低</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i/>
                <w:color w:val="000000"/>
                <w:sz w:val="18"/>
                <w:szCs w:val="18"/>
              </w:rPr>
            </w:pPr>
          </w:p>
        </w:tc>
      </w:tr>
      <w:tr>
        <w:tblPrEx>
          <w:tblCellMar>
            <w:top w:w="0" w:type="dxa"/>
            <w:left w:w="0" w:type="dxa"/>
            <w:bottom w:w="0" w:type="dxa"/>
            <w:right w:w="0" w:type="dxa"/>
          </w:tblCellMar>
        </w:tblPrEx>
        <w:trPr>
          <w:trHeight w:val="286" w:hRule="atLeast"/>
        </w:trPr>
        <w:tc>
          <w:tcPr>
            <w:tcW w:w="723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评价结论</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项目自评总分75分，保障了机关工作正常开展。</w:t>
            </w:r>
          </w:p>
        </w:tc>
      </w:tr>
      <w:tr>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存在问题</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系统存在不稳定的情况。</w:t>
            </w:r>
          </w:p>
        </w:tc>
      </w:tr>
      <w:tr>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改进措施</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及时联系技术人员，定期进行系统维护。</w:t>
            </w:r>
          </w:p>
        </w:tc>
      </w:tr>
      <w:tr>
        <w:tblPrEx>
          <w:tblCellMar>
            <w:top w:w="0" w:type="dxa"/>
            <w:left w:w="0" w:type="dxa"/>
            <w:bottom w:w="0" w:type="dxa"/>
            <w:right w:w="0" w:type="dxa"/>
          </w:tblCellMar>
        </w:tblPrEx>
        <w:trPr>
          <w:trHeight w:val="286" w:hRule="atLeast"/>
        </w:trPr>
        <w:tc>
          <w:tcPr>
            <w:tcW w:w="52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项目负责人：梅伯建</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财务负责人：杨松弋</w:t>
            </w:r>
          </w:p>
        </w:tc>
      </w:tr>
      <w:tr>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19"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5"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904" w:hRule="atLeast"/>
        </w:trPr>
        <w:tc>
          <w:tcPr>
            <w:tcW w:w="973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30"/>
                <w:szCs w:val="30"/>
                <w:lang w:bidi="ar"/>
              </w:rPr>
              <w:t>部门预算项目支出绩效自评表（2022年度）</w:t>
            </w:r>
          </w:p>
        </w:tc>
      </w:tr>
      <w:tr>
        <w:tblPrEx>
          <w:tblCellMar>
            <w:top w:w="0" w:type="dxa"/>
            <w:left w:w="0" w:type="dxa"/>
            <w:bottom w:w="0" w:type="dxa"/>
            <w:right w:w="0" w:type="dxa"/>
          </w:tblCellMar>
        </w:tblPrEx>
        <w:trPr>
          <w:trHeight w:val="286" w:hRule="atLeast"/>
        </w:trPr>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w:t>
            </w:r>
          </w:p>
        </w:tc>
        <w:tc>
          <w:tcPr>
            <w:tcW w:w="767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51180222T000000380174-案件查办</w:t>
            </w:r>
          </w:p>
        </w:tc>
      </w:tr>
      <w:tr>
        <w:tblPrEx>
          <w:tblCellMar>
            <w:top w:w="0" w:type="dxa"/>
            <w:left w:w="0" w:type="dxa"/>
            <w:bottom w:w="0" w:type="dxa"/>
            <w:right w:w="0" w:type="dxa"/>
          </w:tblCellMar>
        </w:tblPrEx>
        <w:trPr>
          <w:trHeight w:val="512" w:hRule="atLeast"/>
        </w:trPr>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主管部门</w:t>
            </w: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中国共产党雅安市雨城区纪律检查委员会部门</w:t>
            </w:r>
          </w:p>
        </w:tc>
        <w:tc>
          <w:tcPr>
            <w:tcW w:w="67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实施单位 （盖章）</w:t>
            </w:r>
          </w:p>
        </w:tc>
        <w:tc>
          <w:tcPr>
            <w:tcW w:w="25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中国共产党雅安市雨城区纪律检查委员会</w:t>
            </w:r>
          </w:p>
        </w:tc>
      </w:tr>
      <w:tr>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项目基本情况</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项目年度目标</w:t>
            </w:r>
          </w:p>
        </w:tc>
        <w:tc>
          <w:tcPr>
            <w:tcW w:w="31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年度目标完成情况</w:t>
            </w:r>
          </w:p>
        </w:tc>
      </w:tr>
      <w:tr>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案件查办顺利开展</w:t>
            </w:r>
          </w:p>
        </w:tc>
        <w:tc>
          <w:tcPr>
            <w:tcW w:w="31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案件查办工作开展顺利</w:t>
            </w:r>
          </w:p>
        </w:tc>
      </w:tr>
      <w:tr>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767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2022年全区各级纪检监察组织共处置问题线索272件，立案209人，给予党纪政务处分196人，移送检察机关8人，收缴违纪违法资金483.5万元。</w:t>
            </w:r>
          </w:p>
        </w:tc>
      </w:tr>
      <w:tr>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年初预算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原因</w:t>
            </w:r>
          </w:p>
        </w:tc>
      </w:tr>
      <w:tr>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年度办案量增加，预算增加。</w:t>
            </w:r>
          </w:p>
        </w:tc>
      </w:tr>
      <w:tr>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54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绩效指标（90分）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三级指标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指标性质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完成值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信访举报办结率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99</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问题线索处置率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立案案件办结率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案件事故发生次数</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案件办理时限达标率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286" w:hRule="atLeast"/>
        </w:trPr>
        <w:tc>
          <w:tcPr>
            <w:tcW w:w="723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98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评价结论</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项目自评总分98分，坚持有案必查、有腐必惩。2022年全区各级纪检监察组织共处置问题线索272件，立案209人，给予党纪政务处分196人，移送检察机关8人，收缴违纪违法资金483.5万元。</w:t>
            </w:r>
          </w:p>
        </w:tc>
      </w:tr>
      <w:tr>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存在问题</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不敢腐、不能腐、不想腐一体推进制度机制不够健全，措施办法不够丰富。</w:t>
            </w:r>
          </w:p>
        </w:tc>
      </w:tr>
      <w:tr>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改进措施</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一体推进“三不腐”，坚决打赢反腐败斗争攻坚战持久战。</w:t>
            </w:r>
          </w:p>
        </w:tc>
      </w:tr>
      <w:tr>
        <w:tblPrEx>
          <w:tblCellMar>
            <w:top w:w="0" w:type="dxa"/>
            <w:left w:w="0" w:type="dxa"/>
            <w:bottom w:w="0" w:type="dxa"/>
            <w:right w:w="0" w:type="dxa"/>
          </w:tblCellMar>
        </w:tblPrEx>
        <w:trPr>
          <w:trHeight w:val="286" w:hRule="atLeast"/>
        </w:trPr>
        <w:tc>
          <w:tcPr>
            <w:tcW w:w="52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项目负责人：王军</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财务负责人：杨松弋</w:t>
            </w:r>
          </w:p>
        </w:tc>
      </w:tr>
      <w:tr>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1378" w:type="dxa"/>
            <w:tcBorders>
              <w:top w:val="nil"/>
              <w:left w:val="nil"/>
              <w:bottom w:val="nil"/>
              <w:right w:val="nil"/>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18"/>
                <w:szCs w:val="18"/>
              </w:rPr>
            </w:pPr>
          </w:p>
        </w:tc>
        <w:tc>
          <w:tcPr>
            <w:tcW w:w="115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1319"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675"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r>
      <w:tr>
        <w:tblPrEx>
          <w:tblCellMar>
            <w:top w:w="0" w:type="dxa"/>
            <w:left w:w="0" w:type="dxa"/>
            <w:bottom w:w="0" w:type="dxa"/>
            <w:right w:w="0" w:type="dxa"/>
          </w:tblCellMar>
        </w:tblPrEx>
        <w:trPr>
          <w:trHeight w:val="904" w:hRule="atLeast"/>
        </w:trPr>
        <w:tc>
          <w:tcPr>
            <w:tcW w:w="973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30"/>
                <w:szCs w:val="30"/>
                <w:lang w:bidi="ar"/>
              </w:rPr>
              <w:t>部门预算项目支出绩效自评表（2022年度）</w:t>
            </w:r>
          </w:p>
        </w:tc>
      </w:tr>
      <w:tr>
        <w:tblPrEx>
          <w:tblCellMar>
            <w:top w:w="0" w:type="dxa"/>
            <w:left w:w="0" w:type="dxa"/>
            <w:bottom w:w="0" w:type="dxa"/>
            <w:right w:w="0" w:type="dxa"/>
          </w:tblCellMar>
        </w:tblPrEx>
        <w:trPr>
          <w:trHeight w:val="286" w:hRule="atLeast"/>
        </w:trPr>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w:t>
            </w:r>
          </w:p>
        </w:tc>
        <w:tc>
          <w:tcPr>
            <w:tcW w:w="767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51180222T000005745668-办公用品购置</w:t>
            </w:r>
          </w:p>
        </w:tc>
      </w:tr>
      <w:tr>
        <w:tblPrEx>
          <w:tblCellMar>
            <w:top w:w="0" w:type="dxa"/>
            <w:left w:w="0" w:type="dxa"/>
            <w:bottom w:w="0" w:type="dxa"/>
            <w:right w:w="0" w:type="dxa"/>
          </w:tblCellMar>
        </w:tblPrEx>
        <w:trPr>
          <w:trHeight w:val="512" w:hRule="atLeast"/>
        </w:trPr>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主管部门</w:t>
            </w: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中国共产党雅安市雨城区纪律检查委员会部门</w:t>
            </w:r>
          </w:p>
        </w:tc>
        <w:tc>
          <w:tcPr>
            <w:tcW w:w="67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实施单位 （盖章）</w:t>
            </w:r>
          </w:p>
        </w:tc>
        <w:tc>
          <w:tcPr>
            <w:tcW w:w="25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中国共产党雅安市雨城区纪律检查委员会</w:t>
            </w:r>
          </w:p>
        </w:tc>
      </w:tr>
      <w:tr>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项目基本情况</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项目年度目标</w:t>
            </w:r>
          </w:p>
        </w:tc>
        <w:tc>
          <w:tcPr>
            <w:tcW w:w="31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年度目标完成情况</w:t>
            </w:r>
          </w:p>
        </w:tc>
      </w:tr>
      <w:tr>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按上级要求，为巡察办配备设备</w:t>
            </w:r>
          </w:p>
        </w:tc>
        <w:tc>
          <w:tcPr>
            <w:tcW w:w="31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为巡察办配置台式电脑、笔记本电脑</w:t>
            </w:r>
          </w:p>
        </w:tc>
      </w:tr>
      <w:tr>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767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上年巡察办向区政府提出经费申请，2022年区政府将资金拨付给我委后实施采购。</w:t>
            </w:r>
          </w:p>
        </w:tc>
      </w:tr>
      <w:tr>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年初预算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原因</w:t>
            </w:r>
          </w:p>
        </w:tc>
      </w:tr>
      <w:tr>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35.85</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35.85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巡察办并入后调入指标</w:t>
            </w:r>
          </w:p>
        </w:tc>
      </w:tr>
      <w:tr>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35.85</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35.85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绩效指标（90分）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三级指标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指标性质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完成值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质量可靠</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定性</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定性</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优良中低差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优</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购置成本</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万元</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35.85</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定性</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高中低</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286" w:hRule="atLeast"/>
        </w:trPr>
        <w:tc>
          <w:tcPr>
            <w:tcW w:w="723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98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评价结论</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项目自评总分98分，配备巡察设备，保障了巡察工作的正常开展。</w:t>
            </w:r>
          </w:p>
        </w:tc>
      </w:tr>
      <w:tr>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存在问题</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改进措施</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0" w:type="dxa"/>
            <w:bottom w:w="0" w:type="dxa"/>
            <w:right w:w="0" w:type="dxa"/>
          </w:tblCellMar>
        </w:tblPrEx>
        <w:trPr>
          <w:trHeight w:val="286" w:hRule="atLeast"/>
        </w:trPr>
        <w:tc>
          <w:tcPr>
            <w:tcW w:w="52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项目负责人：杨旺</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财务负责人：杨松弋</w:t>
            </w:r>
          </w:p>
        </w:tc>
      </w:tr>
      <w:tr>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1378" w:type="dxa"/>
            <w:tcBorders>
              <w:top w:val="nil"/>
              <w:left w:val="nil"/>
              <w:bottom w:val="nil"/>
              <w:right w:val="nil"/>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18"/>
                <w:szCs w:val="18"/>
              </w:rPr>
            </w:pPr>
          </w:p>
        </w:tc>
        <w:tc>
          <w:tcPr>
            <w:tcW w:w="115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1319"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675"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ascii="仿宋_GB2312" w:hAnsi="宋体" w:eastAsia="仿宋_GB2312" w:cs="仿宋_GB2312"/>
                <w:color w:val="000000"/>
                <w:sz w:val="18"/>
                <w:szCs w:val="18"/>
              </w:rPr>
            </w:pPr>
          </w:p>
        </w:tc>
      </w:tr>
      <w:tr>
        <w:tblPrEx>
          <w:tblCellMar>
            <w:top w:w="0" w:type="dxa"/>
            <w:left w:w="0" w:type="dxa"/>
            <w:bottom w:w="0" w:type="dxa"/>
            <w:right w:w="0" w:type="dxa"/>
          </w:tblCellMar>
        </w:tblPrEx>
        <w:trPr>
          <w:trHeight w:val="904" w:hRule="atLeast"/>
        </w:trPr>
        <w:tc>
          <w:tcPr>
            <w:tcW w:w="973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30"/>
                <w:szCs w:val="30"/>
                <w:lang w:bidi="ar"/>
              </w:rPr>
              <w:t>部门预算项目支出绩效自评表（2022年度）</w:t>
            </w:r>
          </w:p>
        </w:tc>
      </w:tr>
      <w:tr>
        <w:tblPrEx>
          <w:tblCellMar>
            <w:top w:w="0" w:type="dxa"/>
            <w:left w:w="0" w:type="dxa"/>
            <w:bottom w:w="0" w:type="dxa"/>
            <w:right w:w="0" w:type="dxa"/>
          </w:tblCellMar>
        </w:tblPrEx>
        <w:trPr>
          <w:trHeight w:val="286" w:hRule="atLeast"/>
        </w:trPr>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w:t>
            </w:r>
          </w:p>
        </w:tc>
        <w:tc>
          <w:tcPr>
            <w:tcW w:w="767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51180222T000006535910-违纪违法问题核查。</w:t>
            </w:r>
          </w:p>
        </w:tc>
      </w:tr>
      <w:tr>
        <w:tblPrEx>
          <w:tblCellMar>
            <w:top w:w="0" w:type="dxa"/>
            <w:left w:w="0" w:type="dxa"/>
            <w:bottom w:w="0" w:type="dxa"/>
            <w:right w:w="0" w:type="dxa"/>
          </w:tblCellMar>
        </w:tblPrEx>
        <w:trPr>
          <w:trHeight w:val="512" w:hRule="atLeast"/>
        </w:trPr>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主管部门</w:t>
            </w: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中国共产党雅安市雨城区纪律检查委员会部门</w:t>
            </w:r>
          </w:p>
        </w:tc>
        <w:tc>
          <w:tcPr>
            <w:tcW w:w="67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实施单位 （盖章）</w:t>
            </w:r>
          </w:p>
        </w:tc>
        <w:tc>
          <w:tcPr>
            <w:tcW w:w="25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中国共产党雅安市雨城区纪律检查委员会</w:t>
            </w:r>
          </w:p>
        </w:tc>
      </w:tr>
      <w:tr>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项目基本情况</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项目年度目标</w:t>
            </w:r>
          </w:p>
        </w:tc>
        <w:tc>
          <w:tcPr>
            <w:tcW w:w="31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年度目标完成情况</w:t>
            </w:r>
          </w:p>
        </w:tc>
      </w:tr>
      <w:tr>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开展巡察工作，发现问题线索</w:t>
            </w:r>
          </w:p>
        </w:tc>
        <w:tc>
          <w:tcPr>
            <w:tcW w:w="31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移送线索32件</w:t>
            </w:r>
          </w:p>
        </w:tc>
      </w:tr>
      <w:tr>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767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对巡察期间发现重大问题线索，形成情况专报，建立巡察报告底稿制度，客观如实准确报告巡察了解的重要情况和问题，并提出处理意见。</w:t>
            </w:r>
          </w:p>
        </w:tc>
      </w:tr>
      <w:tr>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年初预算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原因</w:t>
            </w:r>
          </w:p>
        </w:tc>
      </w:tr>
      <w:tr>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巡察办并入后调入指标</w:t>
            </w:r>
          </w:p>
        </w:tc>
      </w:tr>
      <w:tr>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绩效指标（90分）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三级指标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指标性质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完成值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调查成本</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万元</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及时移送线索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定性</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是否及时</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及时</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查找问题线索率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6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效果指标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营造风清气正的政治生态环境</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定性</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好坏</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好</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5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服务对象满意度指标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服务对象满意度</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98</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286" w:hRule="atLeast"/>
        </w:trPr>
        <w:tc>
          <w:tcPr>
            <w:tcW w:w="723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评价结论</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项目自评总分98分，2022年巡察共移送线索32件。</w:t>
            </w:r>
          </w:p>
        </w:tc>
      </w:tr>
      <w:tr>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存在问题</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改进措施</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0" w:type="dxa"/>
            <w:bottom w:w="0" w:type="dxa"/>
            <w:right w:w="0" w:type="dxa"/>
          </w:tblCellMar>
        </w:tblPrEx>
        <w:trPr>
          <w:trHeight w:val="286" w:hRule="atLeast"/>
        </w:trPr>
        <w:tc>
          <w:tcPr>
            <w:tcW w:w="52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项目负责人：罗李媛</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财务负责人：杨松弋</w:t>
            </w:r>
          </w:p>
        </w:tc>
      </w:tr>
      <w:tr>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19"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5"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904" w:hRule="atLeast"/>
        </w:trPr>
        <w:tc>
          <w:tcPr>
            <w:tcW w:w="973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30"/>
                <w:szCs w:val="30"/>
                <w:lang w:bidi="ar"/>
              </w:rPr>
              <w:t>部门预算项目支出绩效自评表（2022年度）</w:t>
            </w:r>
          </w:p>
        </w:tc>
      </w:tr>
      <w:tr>
        <w:tblPrEx>
          <w:tblCellMar>
            <w:top w:w="0" w:type="dxa"/>
            <w:left w:w="0" w:type="dxa"/>
            <w:bottom w:w="0" w:type="dxa"/>
            <w:right w:w="0" w:type="dxa"/>
          </w:tblCellMar>
        </w:tblPrEx>
        <w:trPr>
          <w:trHeight w:val="286" w:hRule="atLeast"/>
        </w:trPr>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w:t>
            </w:r>
          </w:p>
        </w:tc>
        <w:tc>
          <w:tcPr>
            <w:tcW w:w="767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51180222T000006535919-开展常规巡察专项巡察工作</w:t>
            </w:r>
          </w:p>
        </w:tc>
      </w:tr>
      <w:tr>
        <w:tblPrEx>
          <w:tblCellMar>
            <w:top w:w="0" w:type="dxa"/>
            <w:left w:w="0" w:type="dxa"/>
            <w:bottom w:w="0" w:type="dxa"/>
            <w:right w:w="0" w:type="dxa"/>
          </w:tblCellMar>
        </w:tblPrEx>
        <w:trPr>
          <w:trHeight w:val="512" w:hRule="atLeast"/>
        </w:trPr>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主管部门</w:t>
            </w: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中国共产党雅安市雨城区纪律检查委员会部门</w:t>
            </w:r>
          </w:p>
        </w:tc>
        <w:tc>
          <w:tcPr>
            <w:tcW w:w="67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实施单位 （盖章）</w:t>
            </w:r>
          </w:p>
        </w:tc>
        <w:tc>
          <w:tcPr>
            <w:tcW w:w="25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中国共产党雅安市雨城区纪律检查委员会</w:t>
            </w:r>
          </w:p>
        </w:tc>
      </w:tr>
      <w:tr>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项目基本情况</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项目年度目标</w:t>
            </w:r>
          </w:p>
        </w:tc>
        <w:tc>
          <w:tcPr>
            <w:tcW w:w="31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年度目标完成情况</w:t>
            </w:r>
          </w:p>
        </w:tc>
      </w:tr>
      <w:tr>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开展常规巡察。</w:t>
            </w:r>
          </w:p>
        </w:tc>
        <w:tc>
          <w:tcPr>
            <w:tcW w:w="31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对12个部门和4个街道党组织开展常规巡察，对4个街道下辖的30个村（社区）党组织开展延伸巡察。</w:t>
            </w:r>
          </w:p>
        </w:tc>
      </w:tr>
      <w:tr>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767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按照新修订的《中共四川省第十一届委员会巡视工作规划（2017-2022年）》，县（市、区）巡察工作向村（社区）和基层站（所）党组织延伸，确保一届任期内实现巡察全覆盖。此外，按照市纪律、市巡察办安排，连续三年，每年开展两轮脱贫攻坚专项巡察。区委计划一年至少开展四轮巡察工作，涉及抽调人员培训、公务用车租赁、办公场地租赁等相关费用支出。</w:t>
            </w:r>
          </w:p>
        </w:tc>
      </w:tr>
      <w:tr>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年初预算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原因</w:t>
            </w:r>
          </w:p>
        </w:tc>
      </w:tr>
      <w:tr>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巡察办并入后调入项目指标</w:t>
            </w:r>
          </w:p>
        </w:tc>
      </w:tr>
      <w:tr>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绩效指标（90分）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三级指标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指标性质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完成值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成本指标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借调人员经费保障</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万元</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数量指标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巡察次数</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时效指标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按安排完成巡察</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定性</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优良中低差</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良</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全面完成巡察工作任务</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50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服务对象满意度</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286" w:hRule="atLeast"/>
        </w:trPr>
        <w:tc>
          <w:tcPr>
            <w:tcW w:w="723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评价结论</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项目自评总分98分，对12个部门和4个街道党组织开展常规巡察，对4个街道下辖的30个村（社区）党组织开展延伸巡察。</w:t>
            </w:r>
          </w:p>
        </w:tc>
      </w:tr>
      <w:tr>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存在问题</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巡察工作有待更加深化。</w:t>
            </w:r>
          </w:p>
        </w:tc>
      </w:tr>
      <w:tr>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改进措施</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深化拓展巡察工作，高质量推动巡察“全覆盖”。</w:t>
            </w:r>
          </w:p>
        </w:tc>
      </w:tr>
      <w:tr>
        <w:tblPrEx>
          <w:tblCellMar>
            <w:top w:w="0" w:type="dxa"/>
            <w:left w:w="0" w:type="dxa"/>
            <w:bottom w:w="0" w:type="dxa"/>
            <w:right w:w="0" w:type="dxa"/>
          </w:tblCellMar>
        </w:tblPrEx>
        <w:trPr>
          <w:trHeight w:val="286" w:hRule="atLeast"/>
        </w:trPr>
        <w:tc>
          <w:tcPr>
            <w:tcW w:w="52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项目负责人：罗李媛</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财务负责人：杨松弋</w:t>
            </w:r>
          </w:p>
        </w:tc>
      </w:tr>
      <w:tr>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19"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5"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904" w:hRule="atLeast"/>
        </w:trPr>
        <w:tc>
          <w:tcPr>
            <w:tcW w:w="973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30"/>
                <w:szCs w:val="30"/>
                <w:lang w:bidi="ar"/>
              </w:rPr>
              <w:t>部门预算项目支出绩效自评表（2022年度）</w:t>
            </w:r>
          </w:p>
        </w:tc>
      </w:tr>
      <w:tr>
        <w:tblPrEx>
          <w:tblCellMar>
            <w:top w:w="0" w:type="dxa"/>
            <w:left w:w="0" w:type="dxa"/>
            <w:bottom w:w="0" w:type="dxa"/>
            <w:right w:w="0" w:type="dxa"/>
          </w:tblCellMar>
        </w:tblPrEx>
        <w:trPr>
          <w:trHeight w:val="286" w:hRule="atLeast"/>
        </w:trPr>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w:t>
            </w:r>
          </w:p>
        </w:tc>
        <w:tc>
          <w:tcPr>
            <w:tcW w:w="767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51180222T000007378042-纪检监察转移支付资金</w:t>
            </w:r>
          </w:p>
        </w:tc>
      </w:tr>
      <w:tr>
        <w:tblPrEx>
          <w:tblCellMar>
            <w:top w:w="0" w:type="dxa"/>
            <w:left w:w="0" w:type="dxa"/>
            <w:bottom w:w="0" w:type="dxa"/>
            <w:right w:w="0" w:type="dxa"/>
          </w:tblCellMar>
        </w:tblPrEx>
        <w:trPr>
          <w:trHeight w:val="512" w:hRule="atLeast"/>
        </w:trPr>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主管部门</w:t>
            </w: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中国共产党雅安市雨城区纪律检查委员会部门</w:t>
            </w:r>
          </w:p>
        </w:tc>
        <w:tc>
          <w:tcPr>
            <w:tcW w:w="67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实施单位 （盖章）</w:t>
            </w:r>
          </w:p>
        </w:tc>
        <w:tc>
          <w:tcPr>
            <w:tcW w:w="25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中国共产党雅安市雨城区纪律检查委员会</w:t>
            </w:r>
          </w:p>
        </w:tc>
      </w:tr>
      <w:tr>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项目基本情况</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项目年度目标</w:t>
            </w:r>
          </w:p>
        </w:tc>
        <w:tc>
          <w:tcPr>
            <w:tcW w:w="31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年度目标完成情况</w:t>
            </w:r>
          </w:p>
        </w:tc>
      </w:tr>
      <w:tr>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在东城街道办建设谈话室一间</w:t>
            </w:r>
          </w:p>
        </w:tc>
        <w:tc>
          <w:tcPr>
            <w:tcW w:w="31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建成谈话室一间</w:t>
            </w:r>
          </w:p>
        </w:tc>
      </w:tr>
      <w:tr>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767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在东城街道办建设谈话室一间</w:t>
            </w:r>
          </w:p>
        </w:tc>
      </w:tr>
      <w:tr>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年初预算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原因</w:t>
            </w:r>
          </w:p>
        </w:tc>
      </w:tr>
      <w:tr>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年中拨付的转移支付资金</w:t>
            </w:r>
          </w:p>
        </w:tc>
      </w:tr>
      <w:tr>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绩效指标（90分）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三级指标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指标性质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完成值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建设谈话室</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间</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验收合格率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设备达标率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13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预算执行率</w:t>
            </w:r>
          </w:p>
        </w:tc>
        <w:tc>
          <w:tcPr>
            <w:tcW w:w="6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1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13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持续营造风清气正的政治生态</w:t>
            </w:r>
          </w:p>
        </w:tc>
        <w:tc>
          <w:tcPr>
            <w:tcW w:w="6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定性</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优良中低差</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优</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6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1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13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纪检监察干部满意度</w:t>
            </w:r>
          </w:p>
        </w:tc>
        <w:tc>
          <w:tcPr>
            <w:tcW w:w="6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286" w:hRule="atLeast"/>
        </w:trPr>
        <w:tc>
          <w:tcPr>
            <w:tcW w:w="723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评价结论</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项目自评总分98分，在东城街道建成谈话室一间。</w:t>
            </w:r>
          </w:p>
        </w:tc>
      </w:tr>
      <w:tr>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存在问题</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改进措施</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0" w:type="dxa"/>
            <w:bottom w:w="0" w:type="dxa"/>
            <w:right w:w="0" w:type="dxa"/>
          </w:tblCellMar>
        </w:tblPrEx>
        <w:trPr>
          <w:trHeight w:val="286" w:hRule="atLeast"/>
        </w:trPr>
        <w:tc>
          <w:tcPr>
            <w:tcW w:w="52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项目负责人：王军</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财务负责人：杨松弋</w:t>
            </w:r>
          </w:p>
        </w:tc>
      </w:tr>
      <w:tr>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19"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5"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74"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904" w:hRule="atLeast"/>
        </w:trPr>
        <w:tc>
          <w:tcPr>
            <w:tcW w:w="973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30"/>
                <w:szCs w:val="30"/>
                <w:lang w:bidi="ar"/>
              </w:rPr>
              <w:t>部门预算项目支出绩效自评表（2022年度）</w:t>
            </w:r>
          </w:p>
        </w:tc>
      </w:tr>
      <w:tr>
        <w:tblPrEx>
          <w:tblCellMar>
            <w:top w:w="0" w:type="dxa"/>
            <w:left w:w="0" w:type="dxa"/>
            <w:bottom w:w="0" w:type="dxa"/>
            <w:right w:w="0" w:type="dxa"/>
          </w:tblCellMar>
        </w:tblPrEx>
        <w:trPr>
          <w:trHeight w:val="286" w:hRule="atLeast"/>
        </w:trPr>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w:t>
            </w:r>
          </w:p>
        </w:tc>
        <w:tc>
          <w:tcPr>
            <w:tcW w:w="767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51180223T000008435729-监督检查</w:t>
            </w:r>
          </w:p>
        </w:tc>
      </w:tr>
      <w:tr>
        <w:tblPrEx>
          <w:tblCellMar>
            <w:top w:w="0" w:type="dxa"/>
            <w:left w:w="0" w:type="dxa"/>
            <w:bottom w:w="0" w:type="dxa"/>
            <w:right w:w="0" w:type="dxa"/>
          </w:tblCellMar>
        </w:tblPrEx>
        <w:trPr>
          <w:trHeight w:val="512" w:hRule="atLeast"/>
        </w:trPr>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主管部门</w:t>
            </w: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中国共产党雅安市雨城区纪律检查委员会部门</w:t>
            </w:r>
          </w:p>
        </w:tc>
        <w:tc>
          <w:tcPr>
            <w:tcW w:w="67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实施单位 （盖章）</w:t>
            </w:r>
          </w:p>
        </w:tc>
        <w:tc>
          <w:tcPr>
            <w:tcW w:w="25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中国共产党雅安市雨城区纪律检查委员会</w:t>
            </w:r>
          </w:p>
        </w:tc>
      </w:tr>
      <w:tr>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项目基本情况</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项目年度目标</w:t>
            </w:r>
          </w:p>
        </w:tc>
        <w:tc>
          <w:tcPr>
            <w:tcW w:w="31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年度目标完成情况</w:t>
            </w:r>
          </w:p>
        </w:tc>
      </w:tr>
      <w:tr>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强化政治监督，做实监督首责</w:t>
            </w:r>
          </w:p>
        </w:tc>
        <w:tc>
          <w:tcPr>
            <w:tcW w:w="31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强化政治监督，推动党的二十大决策部署落地见效；做实监督首责，提高监督能力提升监督效能。</w:t>
            </w:r>
          </w:p>
        </w:tc>
      </w:tr>
      <w:tr>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767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1.践行“两个维护”,推动政治监督具体化常态化。2.持续正风肃纪，巩固拓展落实中央八项规定精神成果。3.立足监督首责，持续做实做牢日常监督。4.深化专项治理，持续整治群众身边腐败和作风问题。</w:t>
            </w:r>
          </w:p>
        </w:tc>
      </w:tr>
      <w:tr>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年初预算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原因</w:t>
            </w:r>
          </w:p>
        </w:tc>
      </w:tr>
      <w:tr>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39.98</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39.98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根据工作开展情况追加经费</w:t>
            </w:r>
          </w:p>
        </w:tc>
      </w:tr>
      <w:tr>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39.98</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39.98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绩效指标（90分）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三级指标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指标性质</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完成值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开展监督检查次数</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w:t>
            </w: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发现问题个数</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问题整改率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生态效益指标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政治生态持续向好</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定性</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好/较好/一般</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年</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较好</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满意度指标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群众满意度</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经济成本指标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项目成本</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万元</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39.98</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286" w:hRule="atLeast"/>
        </w:trPr>
        <w:tc>
          <w:tcPr>
            <w:tcW w:w="723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评价结论</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项目自评总分91分，强化政治监督，推动党的二十大决策部署落地见效；做实监督首责，提高监督能力提升监督效能。</w:t>
            </w:r>
          </w:p>
        </w:tc>
      </w:tr>
      <w:tr>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存在问题</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改进措施</w:t>
            </w:r>
          </w:p>
        </w:tc>
        <w:tc>
          <w:tcPr>
            <w:tcW w:w="905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0" w:type="dxa"/>
            <w:bottom w:w="0" w:type="dxa"/>
            <w:right w:w="0" w:type="dxa"/>
          </w:tblCellMar>
        </w:tblPrEx>
        <w:trPr>
          <w:trHeight w:val="286" w:hRule="atLeast"/>
        </w:trPr>
        <w:tc>
          <w:tcPr>
            <w:tcW w:w="52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项目负责人：黄媛</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财务负责人：杨松弋</w:t>
            </w:r>
          </w:p>
        </w:tc>
      </w:tr>
    </w:tbl>
    <w:p>
      <w:pPr>
        <w:pStyle w:val="2"/>
        <w:spacing w:before="93"/>
        <w:rPr>
          <w:rFonts w:ascii="黑体" w:hAnsi="黑体" w:eastAsia="黑体" w:cs="宋体"/>
          <w:sz w:val="32"/>
          <w:szCs w:val="32"/>
          <w:shd w:val="clear" w:color="auto" w:fill="FFFFFF"/>
          <w:lang w:val="zh-CN"/>
        </w:rPr>
      </w:pPr>
    </w:p>
    <w:p>
      <w:pPr>
        <w:pStyle w:val="2"/>
        <w:spacing w:before="93"/>
        <w:rPr>
          <w:rFonts w:ascii="黑体" w:hAnsi="黑体" w:eastAsia="黑体" w:cs="宋体"/>
          <w:sz w:val="32"/>
          <w:szCs w:val="32"/>
          <w:shd w:val="clear" w:color="auto" w:fill="FFFFFF"/>
          <w:lang w:val="zh-CN"/>
        </w:rPr>
      </w:pPr>
    </w:p>
    <w:p>
      <w:pPr>
        <w:pStyle w:val="2"/>
        <w:spacing w:before="93"/>
        <w:rPr>
          <w:rFonts w:ascii="黑体" w:hAnsi="黑体" w:eastAsia="黑体" w:cs="宋体"/>
          <w:sz w:val="32"/>
          <w:szCs w:val="32"/>
          <w:shd w:val="clear" w:color="auto" w:fill="FFFFFF"/>
          <w:lang w:val="zh-CN"/>
        </w:rPr>
      </w:pPr>
    </w:p>
    <w:p>
      <w:pPr>
        <w:pStyle w:val="2"/>
        <w:spacing w:before="93"/>
        <w:rPr>
          <w:rFonts w:ascii="黑体" w:hAnsi="黑体" w:eastAsia="黑体" w:cs="宋体"/>
          <w:sz w:val="32"/>
          <w:szCs w:val="32"/>
          <w:shd w:val="clear" w:color="auto" w:fill="FFFFFF"/>
          <w:lang w:val="zh-CN"/>
        </w:rPr>
      </w:pPr>
    </w:p>
    <w:p>
      <w:pPr>
        <w:pStyle w:val="2"/>
        <w:spacing w:before="93"/>
        <w:rPr>
          <w:rFonts w:ascii="黑体" w:hAnsi="黑体" w:eastAsia="黑体" w:cs="宋体"/>
          <w:sz w:val="32"/>
          <w:szCs w:val="32"/>
          <w:shd w:val="clear" w:color="auto" w:fill="FFFFFF"/>
          <w:lang w:val="zh-CN"/>
        </w:rPr>
      </w:pPr>
    </w:p>
    <w:p>
      <w:pPr>
        <w:pStyle w:val="2"/>
        <w:spacing w:before="93"/>
        <w:rPr>
          <w:rFonts w:ascii="黑体" w:hAnsi="黑体" w:eastAsia="黑体" w:cs="宋体"/>
          <w:sz w:val="32"/>
          <w:szCs w:val="32"/>
          <w:shd w:val="clear" w:color="auto" w:fill="FFFFFF"/>
          <w:lang w:val="zh-CN"/>
        </w:rPr>
      </w:pPr>
    </w:p>
    <w:p>
      <w:pPr>
        <w:pStyle w:val="2"/>
        <w:spacing w:before="93"/>
        <w:rPr>
          <w:rFonts w:ascii="黑体" w:hAnsi="黑体" w:eastAsia="黑体" w:cs="宋体"/>
          <w:sz w:val="32"/>
          <w:szCs w:val="32"/>
          <w:shd w:val="clear" w:color="auto" w:fill="FFFFFF"/>
          <w:lang w:val="zh-CN"/>
        </w:rPr>
      </w:pPr>
    </w:p>
    <w:p>
      <w:pPr>
        <w:pStyle w:val="2"/>
        <w:spacing w:before="93"/>
        <w:rPr>
          <w:rFonts w:ascii="黑体" w:hAnsi="黑体" w:eastAsia="黑体" w:cs="宋体"/>
          <w:sz w:val="32"/>
          <w:szCs w:val="32"/>
          <w:shd w:val="clear" w:color="auto" w:fill="FFFFFF"/>
          <w:lang w:val="zh-CN"/>
        </w:rPr>
      </w:pPr>
    </w:p>
    <w:p>
      <w:pPr>
        <w:pStyle w:val="2"/>
        <w:spacing w:before="93"/>
        <w:rPr>
          <w:rFonts w:ascii="黑体" w:hAnsi="黑体" w:eastAsia="黑体" w:cs="宋体"/>
          <w:sz w:val="32"/>
          <w:szCs w:val="32"/>
          <w:shd w:val="clear" w:color="auto" w:fill="FFFFFF"/>
          <w:lang w:val="zh-CN"/>
        </w:rPr>
      </w:pPr>
    </w:p>
    <w:p>
      <w:pPr>
        <w:pStyle w:val="2"/>
        <w:spacing w:before="93"/>
        <w:rPr>
          <w:rFonts w:ascii="黑体" w:hAnsi="黑体" w:eastAsia="黑体" w:cs="宋体"/>
          <w:sz w:val="32"/>
          <w:szCs w:val="32"/>
          <w:shd w:val="clear" w:color="auto" w:fill="FFFFFF"/>
          <w:lang w:val="zh-CN"/>
        </w:rPr>
      </w:pPr>
    </w:p>
    <w:p>
      <w:pPr>
        <w:pStyle w:val="2"/>
        <w:spacing w:before="93"/>
        <w:rPr>
          <w:rFonts w:ascii="黑体" w:hAnsi="黑体" w:eastAsia="黑体" w:cs="宋体"/>
          <w:sz w:val="32"/>
          <w:szCs w:val="32"/>
          <w:shd w:val="clear" w:color="auto" w:fill="FFFFFF"/>
          <w:lang w:val="zh-CN"/>
        </w:rPr>
      </w:pPr>
    </w:p>
    <w:p>
      <w:pPr>
        <w:pStyle w:val="2"/>
        <w:spacing w:before="93"/>
        <w:rPr>
          <w:rFonts w:ascii="黑体" w:hAnsi="黑体" w:eastAsia="黑体" w:cs="宋体"/>
          <w:sz w:val="32"/>
          <w:szCs w:val="32"/>
          <w:shd w:val="clear" w:color="auto" w:fill="FFFFFF"/>
          <w:lang w:val="zh-CN"/>
        </w:rPr>
      </w:pPr>
    </w:p>
    <w:p>
      <w:pPr>
        <w:pStyle w:val="2"/>
        <w:spacing w:before="93"/>
        <w:rPr>
          <w:rFonts w:ascii="黑体" w:hAnsi="黑体" w:eastAsia="黑体" w:cs="宋体"/>
          <w:sz w:val="32"/>
          <w:szCs w:val="32"/>
          <w:shd w:val="clear" w:color="auto" w:fill="FFFFFF"/>
          <w:lang w:val="zh-CN"/>
        </w:rPr>
      </w:pPr>
    </w:p>
    <w:p>
      <w:pPr>
        <w:pStyle w:val="2"/>
        <w:spacing w:before="93"/>
        <w:rPr>
          <w:rFonts w:ascii="黑体" w:hAnsi="黑体" w:eastAsia="黑体" w:cs="宋体"/>
          <w:sz w:val="32"/>
          <w:szCs w:val="32"/>
          <w:shd w:val="clear" w:color="auto" w:fill="FFFFFF"/>
          <w:lang w:val="zh-CN"/>
        </w:rPr>
      </w:pPr>
    </w:p>
    <w:p>
      <w:pPr>
        <w:pStyle w:val="2"/>
        <w:spacing w:before="93"/>
        <w:rPr>
          <w:rFonts w:ascii="黑体" w:hAnsi="黑体" w:eastAsia="黑体" w:cs="宋体"/>
          <w:sz w:val="32"/>
          <w:szCs w:val="32"/>
          <w:shd w:val="clear" w:color="auto" w:fill="FFFFFF"/>
          <w:lang w:val="zh-CN"/>
        </w:rPr>
      </w:pPr>
    </w:p>
    <w:p>
      <w:pPr>
        <w:pStyle w:val="2"/>
        <w:spacing w:before="93"/>
        <w:rPr>
          <w:rFonts w:ascii="黑体" w:hAnsi="黑体" w:eastAsia="黑体" w:cs="宋体"/>
          <w:sz w:val="32"/>
          <w:szCs w:val="32"/>
          <w:shd w:val="clear" w:color="auto" w:fill="FFFFFF"/>
          <w:lang w:val="zh-CN"/>
        </w:rPr>
      </w:pPr>
    </w:p>
    <w:p>
      <w:pPr>
        <w:pStyle w:val="2"/>
        <w:spacing w:before="93"/>
        <w:rPr>
          <w:rFonts w:ascii="黑体" w:hAnsi="黑体" w:eastAsia="黑体" w:cs="宋体"/>
          <w:sz w:val="32"/>
          <w:szCs w:val="32"/>
          <w:shd w:val="clear" w:color="auto" w:fill="FFFFFF"/>
        </w:rPr>
      </w:pPr>
      <w:r>
        <w:rPr>
          <w:rFonts w:hint="eastAsia" w:ascii="黑体" w:hAnsi="黑体" w:eastAsia="黑体" w:cs="宋体"/>
          <w:sz w:val="32"/>
          <w:szCs w:val="32"/>
          <w:shd w:val="clear" w:color="auto" w:fill="FFFFFF"/>
          <w:lang w:val="zh-CN"/>
        </w:rPr>
        <w:t>附件</w:t>
      </w:r>
      <w:r>
        <w:rPr>
          <w:rFonts w:hint="eastAsia" w:ascii="黑体" w:hAnsi="黑体" w:eastAsia="黑体" w:cs="宋体"/>
          <w:sz w:val="32"/>
          <w:szCs w:val="32"/>
          <w:shd w:val="clear" w:color="auto" w:fill="FFFFFF"/>
        </w:rPr>
        <w:t>2</w:t>
      </w:r>
    </w:p>
    <w:p>
      <w:pPr>
        <w:widowControl/>
        <w:spacing w:line="600" w:lineRule="exact"/>
        <w:contextualSpacing/>
        <w:jc w:val="center"/>
        <w:rPr>
          <w:rFonts w:ascii="方正小标宋简体" w:hAnsi="宋体" w:eastAsia="方正小标宋简体"/>
          <w:sz w:val="40"/>
          <w:szCs w:val="40"/>
          <w:shd w:val="clear" w:color="auto" w:fill="FFFFFF"/>
        </w:rPr>
      </w:pPr>
      <w:r>
        <w:rPr>
          <w:rFonts w:hint="eastAsia" w:ascii="方正小标宋简体" w:hAnsi="宋体" w:eastAsia="方正小标宋简体"/>
          <w:sz w:val="40"/>
          <w:szCs w:val="40"/>
          <w:shd w:val="clear" w:color="auto" w:fill="FFFFFF"/>
        </w:rPr>
        <w:t>2022年大案要案查处专项资金预算项目绩效  自评报告</w:t>
      </w:r>
    </w:p>
    <w:p>
      <w:pPr>
        <w:pStyle w:val="36"/>
        <w:spacing w:line="578" w:lineRule="exact"/>
        <w:ind w:firstLine="640"/>
        <w:jc w:val="center"/>
        <w:rPr>
          <w:rFonts w:ascii="宋体" w:hAnsi="宋体"/>
          <w:color w:val="auto"/>
          <w:kern w:val="2"/>
          <w:sz w:val="32"/>
          <w:szCs w:val="32"/>
          <w:lang w:val="en-US"/>
        </w:rPr>
      </w:pPr>
    </w:p>
    <w:p>
      <w:pPr>
        <w:adjustRightInd w:val="0"/>
        <w:snapToGrid w:val="0"/>
        <w:spacing w:line="600" w:lineRule="exact"/>
        <w:ind w:firstLine="640" w:firstLineChars="20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640" w:firstLineChars="20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根据职责要求，案件查办</w:t>
      </w:r>
      <w:r>
        <w:rPr>
          <w:rFonts w:hint="eastAsia" w:ascii="仿宋_GB2312" w:hAnsi="Calibri" w:cs="仿宋_GB2312"/>
          <w:color w:val="000000"/>
          <w:sz w:val="32"/>
          <w:szCs w:val="32"/>
        </w:rPr>
        <w:t>是</w:t>
      </w:r>
      <w:r>
        <w:rPr>
          <w:rFonts w:hint="eastAsia" w:ascii="仿宋_GB2312" w:hAnsi="Calibri" w:eastAsia="仿宋_GB2312" w:cs="仿宋_GB2312"/>
          <w:color w:val="000000"/>
          <w:sz w:val="32"/>
          <w:szCs w:val="32"/>
        </w:rPr>
        <w:t>纪委监委一项重要工</w:t>
      </w:r>
      <w:r>
        <w:rPr>
          <w:rFonts w:hint="eastAsia" w:ascii="仿宋_GB2312" w:hAnsi="Calibri" w:cs="仿宋_GB2312"/>
          <w:color w:val="000000"/>
          <w:sz w:val="32"/>
          <w:szCs w:val="32"/>
        </w:rPr>
        <w:t>作。</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utoSpaceDE w:val="0"/>
        <w:autoSpaceDN w:val="0"/>
        <w:adjustRightInd w:val="0"/>
        <w:spacing w:line="600" w:lineRule="exact"/>
        <w:ind w:firstLine="640" w:firstLineChars="200"/>
        <w:rPr>
          <w:rFonts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1.项目资金主要用于案件查办过程中产生的留置场所使用费、案件调查支出、办案及陪护人员补助、办案用品购买等。</w:t>
      </w:r>
    </w:p>
    <w:p>
      <w:pPr>
        <w:autoSpaceDE w:val="0"/>
        <w:autoSpaceDN w:val="0"/>
        <w:adjustRightInd w:val="0"/>
        <w:spacing w:line="600" w:lineRule="exact"/>
        <w:ind w:firstLine="640" w:firstLineChars="200"/>
        <w:rPr>
          <w:rFonts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2.项目应实现的具体绩效目标为完成本年内的案件查办线索处置工作。</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utoSpaceDE w:val="0"/>
        <w:autoSpaceDN w:val="0"/>
        <w:adjustRightInd w:val="0"/>
        <w:spacing w:line="600" w:lineRule="exact"/>
        <w:ind w:firstLine="640" w:firstLineChars="200"/>
        <w:rPr>
          <w:rFonts w:ascii="仿宋_GB2312" w:hAnsi="Calibri" w:eastAsia="仿宋_GB2312" w:cs="仿宋_GB2312"/>
          <w:color w:val="000000"/>
          <w:kern w:val="0"/>
          <w:sz w:val="32"/>
          <w:szCs w:val="32"/>
          <w:lang w:val="zh-CN"/>
        </w:rPr>
      </w:pPr>
      <w:r>
        <w:rPr>
          <w:rFonts w:hint="eastAsia" w:ascii="仿宋_GB2312" w:hAnsi="Calibri" w:eastAsia="仿宋_GB2312" w:cs="仿宋_GB2312"/>
          <w:color w:val="000000"/>
          <w:kern w:val="0"/>
          <w:sz w:val="32"/>
          <w:szCs w:val="32"/>
          <w:lang w:val="zh-CN"/>
        </w:rPr>
        <w:t>项目绩效自评采用绩效运行监控分析表填列的方式，通</w:t>
      </w:r>
    </w:p>
    <w:p>
      <w:pPr>
        <w:autoSpaceDE w:val="0"/>
        <w:autoSpaceDN w:val="0"/>
        <w:adjustRightInd w:val="0"/>
        <w:spacing w:line="600" w:lineRule="exact"/>
        <w:rPr>
          <w:rFonts w:ascii="仿宋_GB2312" w:hAnsi="Calibri" w:eastAsia="仿宋_GB2312" w:cs="仿宋_GB2312"/>
          <w:color w:val="000000"/>
          <w:kern w:val="0"/>
          <w:sz w:val="32"/>
          <w:szCs w:val="32"/>
          <w:lang w:val="zh-CN"/>
        </w:rPr>
      </w:pPr>
      <w:r>
        <w:rPr>
          <w:rFonts w:hint="eastAsia" w:ascii="仿宋_GB2312" w:hAnsi="Calibri" w:eastAsia="仿宋_GB2312" w:cs="仿宋_GB2312"/>
          <w:color w:val="000000"/>
          <w:kern w:val="0"/>
          <w:sz w:val="32"/>
          <w:szCs w:val="32"/>
          <w:lang w:val="zh-CN"/>
        </w:rPr>
        <w:t>过各类绩效指标的执行成效，对项目进行评价。</w:t>
      </w: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643" w:firstLineChars="20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（一）项目资金申报及批复情况。</w:t>
      </w:r>
      <w:r>
        <w:rPr>
          <w:rFonts w:hint="eastAsia" w:ascii="仿宋_GB2312" w:hAnsi="仿宋_GB2312" w:eastAsia="仿宋_GB2312" w:cs="仿宋_GB2312"/>
          <w:kern w:val="0"/>
          <w:sz w:val="32"/>
          <w:szCs w:val="32"/>
          <w:shd w:val="clear" w:color="auto" w:fill="FFFFFF"/>
          <w:lang w:val="zh-CN"/>
        </w:rPr>
        <w:t>项目资金及时到位。</w:t>
      </w:r>
    </w:p>
    <w:p>
      <w:pPr>
        <w:adjustRightInd w:val="0"/>
        <w:snapToGrid w:val="0"/>
        <w:spacing w:line="600"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zh-CN"/>
        </w:rPr>
        <w:t>资金计划及到位。</w:t>
      </w:r>
      <w:r>
        <w:rPr>
          <w:rFonts w:hint="eastAsia" w:ascii="仿宋_GB2312" w:hAnsi="仿宋_GB2312" w:eastAsia="仿宋_GB2312" w:cs="仿宋_GB2312"/>
          <w:bCs/>
          <w:color w:val="000000"/>
          <w:kern w:val="0"/>
          <w:sz w:val="32"/>
          <w:szCs w:val="32"/>
        </w:rPr>
        <w:t>案件查办的60万元已全部到位。</w:t>
      </w:r>
    </w:p>
    <w:p>
      <w:pPr>
        <w:adjustRightInd w:val="0"/>
        <w:snapToGrid w:val="0"/>
        <w:spacing w:line="60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zh-CN"/>
        </w:rPr>
        <w:t>资金使用。项目资金全部用于案件查办相关支出，金额合计</w:t>
      </w:r>
      <w:r>
        <w:rPr>
          <w:rFonts w:hint="eastAsia" w:ascii="仿宋_GB2312" w:hAnsi="仿宋_GB2312" w:eastAsia="仿宋_GB2312" w:cs="仿宋_GB2312"/>
          <w:kern w:val="0"/>
          <w:sz w:val="32"/>
          <w:szCs w:val="32"/>
          <w:shd w:val="clear" w:color="auto" w:fill="FFFFFF"/>
        </w:rPr>
        <w:t>60万元。</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640" w:firstLineChars="200"/>
        <w:rPr>
          <w:rFonts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区纪委监委财务管理制度健全，严格执行财务管理制度，账务处理及时，会计核算规范。</w:t>
      </w: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640" w:firstLineChars="200"/>
        <w:rPr>
          <w:rFonts w:ascii="仿宋_GB2312" w:hAnsi="Calibri" w:eastAsia="仿宋_GB2312" w:cs="仿宋_GB2312"/>
          <w:color w:val="000000"/>
          <w:kern w:val="0"/>
          <w:sz w:val="32"/>
          <w:szCs w:val="32"/>
          <w:lang w:val="zh-CN"/>
        </w:rPr>
      </w:pPr>
      <w:r>
        <w:rPr>
          <w:rFonts w:hint="eastAsia" w:ascii="仿宋_GB2312" w:hAnsi="Calibri" w:eastAsia="仿宋_GB2312" w:cs="仿宋_GB2312"/>
          <w:color w:val="000000"/>
          <w:kern w:val="0"/>
          <w:sz w:val="32"/>
          <w:szCs w:val="32"/>
          <w:lang w:val="zh-CN"/>
        </w:rPr>
        <w:t>我委设纪检</w:t>
      </w:r>
      <w:r>
        <w:rPr>
          <w:rFonts w:hint="eastAsia" w:ascii="仿宋_GB2312" w:hAnsi="Calibri" w:eastAsia="仿宋_GB2312" w:cs="仿宋_GB2312"/>
          <w:color w:val="000000"/>
          <w:kern w:val="0"/>
          <w:sz w:val="32"/>
          <w:szCs w:val="32"/>
        </w:rPr>
        <w:t>室五个，主要负责全区案件查办工作，设案审室、案管室，负责全区案件审理与管理工作。</w:t>
      </w:r>
    </w:p>
    <w:p>
      <w:pPr>
        <w:numPr>
          <w:ilvl w:val="0"/>
          <w:numId w:val="3"/>
        </w:numPr>
        <w:autoSpaceDE w:val="0"/>
        <w:autoSpaceDN w:val="0"/>
        <w:adjustRightIn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autoSpaceDE w:val="0"/>
        <w:autoSpaceDN w:val="0"/>
        <w:adjustRightInd w:val="0"/>
        <w:spacing w:line="600" w:lineRule="exact"/>
        <w:ind w:firstLine="640" w:firstLineChars="20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严格按照案件审查调查制度流程，监督执纪工作规则办理案件。</w:t>
      </w:r>
    </w:p>
    <w:p>
      <w:pPr>
        <w:numPr>
          <w:ilvl w:val="0"/>
          <w:numId w:val="3"/>
        </w:num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autoSpaceDE w:val="0"/>
        <w:autoSpaceDN w:val="0"/>
        <w:adjustRightInd w:val="0"/>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Calibri" w:eastAsia="仿宋_GB2312" w:cs="仿宋_GB2312"/>
          <w:color w:val="000000"/>
          <w:sz w:val="32"/>
          <w:szCs w:val="32"/>
        </w:rPr>
        <w:t>按照财务报销流程审签，大额支出由班子集体研究。</w:t>
      </w: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四、项目绩效情况</w:t>
      </w:r>
      <w:r>
        <w:rPr>
          <w:rFonts w:hint="eastAsia" w:ascii="黑体" w:hAnsi="宋体" w:eastAsia="黑体"/>
          <w:sz w:val="32"/>
          <w:szCs w:val="32"/>
        </w:rPr>
        <w:tab/>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2022年全区各级纪检监察组织共处置问题线索272件，立案209人，给予党纪政务处分196人，移送检察机关8人。       </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2022年收缴违纪违法资金483.5万元。</w:t>
      </w: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643" w:firstLineChars="20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（一）评价结论。</w:t>
      </w:r>
      <w:r>
        <w:rPr>
          <w:rFonts w:hint="eastAsia" w:ascii="仿宋_GB2312" w:hAnsi="仿宋_GB2312" w:eastAsia="仿宋_GB2312" w:cs="仿宋_GB2312"/>
          <w:kern w:val="0"/>
          <w:sz w:val="32"/>
          <w:szCs w:val="32"/>
          <w:shd w:val="clear" w:color="auto" w:fill="FFFFFF"/>
          <w:lang w:val="zh-CN"/>
        </w:rPr>
        <w:t>顺利完成年度案件查办相关工作。</w:t>
      </w:r>
    </w:p>
    <w:p>
      <w:pPr>
        <w:adjustRightInd w:val="0"/>
        <w:snapToGrid w:val="0"/>
        <w:spacing w:line="600" w:lineRule="exact"/>
        <w:ind w:firstLine="643" w:firstLineChars="20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（二）存在的问题。</w:t>
      </w:r>
      <w:r>
        <w:rPr>
          <w:rFonts w:hint="eastAsia" w:ascii="仿宋_GB2312" w:hAnsi="仿宋_GB2312" w:eastAsia="仿宋_GB2312" w:cs="仿宋_GB2312"/>
          <w:kern w:val="0"/>
          <w:sz w:val="32"/>
          <w:szCs w:val="32"/>
          <w:shd w:val="clear" w:color="auto" w:fill="FFFFFF"/>
          <w:lang w:val="zh-CN"/>
        </w:rPr>
        <w:t>不敢腐、不能腐、不想腐一体推进制度机制不够健全，措施办法不够丰富。</w:t>
      </w:r>
    </w:p>
    <w:p>
      <w:pPr>
        <w:adjustRightInd w:val="0"/>
        <w:snapToGrid w:val="0"/>
        <w:spacing w:line="600" w:lineRule="exact"/>
        <w:ind w:firstLine="643" w:firstLineChars="20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（三）相关建议。</w:t>
      </w:r>
      <w:r>
        <w:rPr>
          <w:rFonts w:hint="eastAsia" w:ascii="仿宋_GB2312" w:hAnsi="仿宋_GB2312" w:eastAsia="仿宋_GB2312" w:cs="仿宋_GB2312"/>
          <w:kern w:val="0"/>
          <w:sz w:val="32"/>
          <w:szCs w:val="32"/>
          <w:shd w:val="clear" w:color="auto" w:fill="FFFFFF"/>
          <w:lang w:val="zh-CN"/>
        </w:rPr>
        <w:t xml:space="preserve">一体推进“三不腐”，坚决打赢反腐败斗争攻坚战持久战。 </w:t>
      </w:r>
    </w:p>
    <w:p>
      <w:pPr>
        <w:pStyle w:val="36"/>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2022年派驻派出机构专项资金预算项目绩效自评报告</w:t>
      </w:r>
    </w:p>
    <w:p>
      <w:pPr>
        <w:spacing w:line="578" w:lineRule="exact"/>
        <w:ind w:firstLine="640"/>
        <w:jc w:val="center"/>
        <w:rPr>
          <w:rFonts w:ascii="宋体" w:hAnsi="宋体"/>
          <w:sz w:val="32"/>
          <w:szCs w:val="32"/>
          <w:lang w:val="zh-CN"/>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utoSpaceDE w:val="0"/>
        <w:autoSpaceDN w:val="0"/>
        <w:adjustRightInd w:val="0"/>
        <w:spacing w:line="60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Calibri" w:eastAsia="仿宋_GB2312" w:cs="仿宋_GB2312"/>
          <w:color w:val="000000"/>
          <w:sz w:val="32"/>
          <w:szCs w:val="32"/>
        </w:rPr>
        <w:t>该项目经费主要用于镇（街道）纪（工）委干部开展纪检监察工作,适用范围为各镇街道从事纪检监察工作的纪委书记、副书记。</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zh-CN"/>
        </w:rPr>
        <w:t>项目主要内容为基层纪检人员办案补贴。</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zh-CN"/>
        </w:rPr>
        <w:t>项目应实现的具体绩效目标。</w:t>
      </w:r>
    </w:p>
    <w:p>
      <w:pPr>
        <w:autoSpaceDE w:val="0"/>
        <w:autoSpaceDN w:val="0"/>
        <w:ind w:firstLine="640" w:firstLineChars="200"/>
        <w:rPr>
          <w:rFonts w:ascii="仿宋_GB2312" w:hAnsi="仿宋_GB2312" w:eastAsia="仿宋_GB2312" w:cs="仿宋_GB2312"/>
          <w:kern w:val="0"/>
          <w:sz w:val="32"/>
          <w:szCs w:val="32"/>
          <w:shd w:val="clear" w:color="auto" w:fill="FFFFFF"/>
          <w:lang w:bidi="zh-CN"/>
        </w:rPr>
      </w:pPr>
      <w:r>
        <w:rPr>
          <w:rFonts w:hint="eastAsia" w:ascii="仿宋_GB2312" w:hAnsi="仿宋_GB2312" w:eastAsia="仿宋_GB2312" w:cs="仿宋_GB2312"/>
          <w:kern w:val="0"/>
          <w:sz w:val="32"/>
          <w:szCs w:val="32"/>
          <w:shd w:val="clear" w:color="auto" w:fill="FFFFFF"/>
          <w:lang w:val="zh-CN" w:bidi="zh-CN"/>
        </w:rPr>
        <w:t>（</w:t>
      </w:r>
      <w:r>
        <w:rPr>
          <w:rFonts w:hint="eastAsia" w:ascii="仿宋_GB2312" w:hAnsi="仿宋_GB2312" w:eastAsia="仿宋_GB2312" w:cs="仿宋_GB2312"/>
          <w:kern w:val="0"/>
          <w:sz w:val="32"/>
          <w:szCs w:val="32"/>
          <w:shd w:val="clear" w:color="auto" w:fill="FFFFFF"/>
          <w:lang w:bidi="zh-CN"/>
        </w:rPr>
        <w:t>1）产出指标。相关调研次数12次，开展培训宣讲4次。</w:t>
      </w:r>
    </w:p>
    <w:p>
      <w:pPr>
        <w:ind w:firstLine="640" w:firstLineChars="200"/>
        <w:rPr>
          <w:rFonts w:ascii="仿宋_GB2312" w:hAnsi="仿宋_GB2312" w:eastAsia="仿宋_GB2312" w:cs="仿宋_GB2312"/>
          <w:kern w:val="0"/>
          <w:sz w:val="32"/>
          <w:szCs w:val="32"/>
          <w:shd w:val="clear" w:color="auto" w:fill="FFFFFF"/>
          <w:lang w:bidi="zh-CN"/>
        </w:rPr>
      </w:pPr>
      <w:r>
        <w:rPr>
          <w:rFonts w:hint="eastAsia" w:ascii="仿宋_GB2312" w:hAnsi="仿宋_GB2312" w:eastAsia="仿宋_GB2312" w:cs="仿宋_GB2312"/>
          <w:kern w:val="0"/>
          <w:sz w:val="32"/>
          <w:szCs w:val="32"/>
          <w:shd w:val="clear" w:color="auto" w:fill="FFFFFF"/>
          <w:lang w:bidi="zh-CN"/>
        </w:rPr>
        <w:t>（2）质量指标。问题线索处置率100%。</w:t>
      </w:r>
    </w:p>
    <w:p>
      <w:pPr>
        <w:autoSpaceDE w:val="0"/>
        <w:autoSpaceDN w:val="0"/>
        <w:ind w:firstLine="640" w:firstLineChars="200"/>
        <w:rPr>
          <w:rFonts w:ascii="仿宋_GB2312" w:hAnsi="仿宋_GB2312" w:eastAsia="仿宋_GB2312" w:cs="仿宋_GB2312"/>
          <w:sz w:val="22"/>
          <w:szCs w:val="22"/>
          <w:lang w:val="zh-CN" w:bidi="zh-CN"/>
        </w:rPr>
      </w:pPr>
      <w:r>
        <w:rPr>
          <w:rFonts w:hint="eastAsia" w:ascii="仿宋_GB2312" w:hAnsi="仿宋_GB2312" w:eastAsia="仿宋_GB2312" w:cs="仿宋_GB2312"/>
          <w:kern w:val="0"/>
          <w:sz w:val="32"/>
          <w:szCs w:val="32"/>
          <w:shd w:val="clear" w:color="auto" w:fill="FFFFFF"/>
          <w:lang w:bidi="zh-CN"/>
        </w:rPr>
        <w:t>（3）满意度指标。办案人员被投诉次数0次。</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zh-CN"/>
        </w:rPr>
        <w:t>申报内容与实际相符，申报目标合理可行。</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本项目采取自评的方式，由责任室部按照项目支出绩效指标对项目实施情况、资金支付、财务管理、社会效益等作出自我评价。</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640" w:firstLineChars="20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年初申报经费15万元，财政拨付15万元，调整后实际使用6.86万元。</w:t>
      </w:r>
    </w:p>
    <w:p>
      <w:pPr>
        <w:adjustRightInd w:val="0"/>
        <w:snapToGrid w:val="0"/>
        <w:spacing w:line="578"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zh-CN"/>
        </w:rPr>
        <w:t>资金计划。预算资金</w:t>
      </w:r>
      <w:r>
        <w:rPr>
          <w:rFonts w:hint="eastAsia" w:ascii="仿宋_GB2312" w:hAnsi="仿宋_GB2312" w:eastAsia="仿宋_GB2312" w:cs="仿宋_GB2312"/>
          <w:kern w:val="0"/>
          <w:sz w:val="32"/>
          <w:szCs w:val="32"/>
          <w:shd w:val="clear" w:color="auto" w:fill="FFFFFF"/>
        </w:rPr>
        <w:t>6.86万元，全年申请资金批复共6.86万元。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zh-CN"/>
        </w:rPr>
        <w:t>资金到位。截止</w:t>
      </w:r>
      <w:r>
        <w:rPr>
          <w:rFonts w:hint="eastAsia" w:ascii="仿宋_GB2312" w:hAnsi="仿宋_GB2312" w:eastAsia="仿宋_GB2312" w:cs="仿宋_GB2312"/>
          <w:kern w:val="0"/>
          <w:sz w:val="32"/>
          <w:szCs w:val="32"/>
          <w:shd w:val="clear" w:color="auto" w:fill="FFFFFF"/>
        </w:rPr>
        <w:t>2022年12月，所有计划资金全部到位。</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zh-CN"/>
        </w:rPr>
        <w:t>资金使用。截止</w:t>
      </w:r>
      <w:r>
        <w:rPr>
          <w:rFonts w:hint="eastAsia" w:ascii="仿宋_GB2312" w:hAnsi="仿宋_GB2312" w:eastAsia="仿宋_GB2312" w:cs="仿宋_GB2312"/>
          <w:kern w:val="0"/>
          <w:sz w:val="32"/>
          <w:szCs w:val="32"/>
          <w:shd w:val="clear" w:color="auto" w:fill="FFFFFF"/>
        </w:rPr>
        <w:t>2022年12月底，该项目经费已全部支出，全部用于基层纪检干部办案补贴发放。</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utoSpaceDE w:val="0"/>
        <w:autoSpaceDN w:val="0"/>
        <w:adjustRightInd w:val="0"/>
        <w:spacing w:line="600" w:lineRule="exact"/>
        <w:ind w:firstLine="640" w:firstLineChars="200"/>
        <w:rPr>
          <w:rFonts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区纪委监委财务管理制度健全，严格执行财务管理制度，账务处理及时，会计核算规范。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autoSpaceDE w:val="0"/>
        <w:autoSpaceDN w:val="0"/>
        <w:adjustRightIn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utoSpaceDE w:val="0"/>
        <w:autoSpaceDN w:val="0"/>
        <w:adjustRightInd w:val="0"/>
        <w:spacing w:line="600" w:lineRule="exact"/>
        <w:ind w:firstLine="640" w:firstLineChars="200"/>
        <w:rPr>
          <w:rFonts w:ascii="楷体_GB2312" w:hAnsi="宋体" w:eastAsia="仿宋_GB2312"/>
          <w:b/>
          <w:sz w:val="32"/>
          <w:szCs w:val="32"/>
          <w:lang w:val="zh-CN"/>
        </w:rPr>
      </w:pPr>
      <w:r>
        <w:rPr>
          <w:rFonts w:hint="eastAsia" w:ascii="仿宋_GB2312" w:hAnsi="Calibri" w:eastAsia="仿宋_GB2312" w:cs="仿宋_GB2312"/>
          <w:color w:val="000000"/>
          <w:kern w:val="0"/>
          <w:sz w:val="32"/>
          <w:szCs w:val="32"/>
        </w:rPr>
        <w:t>区纪委监委</w:t>
      </w:r>
      <w:r>
        <w:rPr>
          <w:rFonts w:hint="eastAsia" w:ascii="仿宋_GB2312" w:hAnsi="Calibri" w:eastAsia="仿宋_GB2312" w:cs="仿宋_GB2312"/>
          <w:color w:val="000000"/>
          <w:sz w:val="32"/>
          <w:szCs w:val="32"/>
        </w:rPr>
        <w:t>根据镇(街道)纪检人员配备情况核发。由镇(街道)向我委开具非税票据申请拨付资金后分配到具体人员。</w:t>
      </w:r>
    </w:p>
    <w:p>
      <w:pPr>
        <w:numPr>
          <w:ilvl w:val="0"/>
          <w:numId w:val="4"/>
        </w:numPr>
        <w:autoSpaceDE w:val="0"/>
        <w:autoSpaceDN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autoSpaceDE w:val="0"/>
        <w:autoSpaceDN w:val="0"/>
        <w:spacing w:line="600" w:lineRule="exact"/>
        <w:ind w:firstLine="640" w:firstLineChars="20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该项目由委机关组织部主要组织实施，办公室辅助搜集基层纪检干部日常工作情况，组织部于年终对镇(街道)纪检干部进行综合考评。</w:t>
      </w:r>
    </w:p>
    <w:p>
      <w:pPr>
        <w:numPr>
          <w:ilvl w:val="0"/>
          <w:numId w:val="4"/>
        </w:numPr>
        <w:adjustRightInd w:val="0"/>
        <w:snapToGrid w:val="0"/>
        <w:spacing w:line="578"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autoSpaceDE w:val="0"/>
        <w:autoSpaceDN w:val="0"/>
        <w:adjustRightInd w:val="0"/>
        <w:spacing w:line="600" w:lineRule="exact"/>
        <w:ind w:firstLine="640" w:firstLineChars="20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由班子集体研究发放。</w:t>
      </w:r>
    </w:p>
    <w:p>
      <w:pPr>
        <w:adjustRightInd w:val="0"/>
        <w:snapToGrid w:val="0"/>
        <w:spacing w:line="578"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utoSpaceDE w:val="0"/>
        <w:autoSpaceDN w:val="0"/>
        <w:spacing w:line="600" w:lineRule="exact"/>
        <w:ind w:firstLine="640" w:firstLineChars="20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组织基层纪检干部跟班轮训、交流锻炼，对各镇（街道）任务完成情况进行了考核。</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utoSpaceDE w:val="0"/>
        <w:autoSpaceDN w:val="0"/>
        <w:spacing w:line="600" w:lineRule="exact"/>
        <w:ind w:firstLine="640" w:firstLineChars="200"/>
        <w:rPr>
          <w:rFonts w:ascii="仿宋_GB2312" w:hAnsi="Calibri" w:eastAsia="仿宋_GB2312" w:cs="仿宋_GB2312"/>
          <w:color w:val="000000"/>
          <w:kern w:val="0"/>
          <w:sz w:val="32"/>
          <w:szCs w:val="32"/>
        </w:rPr>
      </w:pPr>
      <w:r>
        <w:rPr>
          <w:rFonts w:hint="eastAsia" w:ascii="仿宋_GB2312" w:hAnsi="Calibri" w:eastAsia="仿宋_GB2312" w:cs="仿宋_GB2312"/>
          <w:color w:val="000000"/>
          <w:sz w:val="32"/>
          <w:szCs w:val="32"/>
        </w:rPr>
        <w:t>有效提高了基层纪检干部工作效率与实绩，提高了干部工作积极性。</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保障了基层纪检监察工作的开展，提高了基层纪检干部工作效率与实绩，提高了干部工作积极性。</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部分新任职的基层纪检监察干部业务能力还需进一步提升。</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建议加强对基层纪检干部业务工作的监督指导。</w:t>
      </w:r>
    </w:p>
    <w:p>
      <w:pPr>
        <w:widowControl/>
        <w:jc w:val="left"/>
        <w:rPr>
          <w:rStyle w:val="30"/>
          <w:rFonts w:ascii="黑体" w:hAnsi="黑体" w:eastAsia="黑体"/>
          <w:b w:val="0"/>
        </w:rPr>
      </w:pPr>
    </w:p>
    <w:p>
      <w:pPr>
        <w:pStyle w:val="19"/>
        <w:rPr>
          <w:rStyle w:val="30"/>
          <w:rFonts w:ascii="黑体" w:hAnsi="黑体" w:eastAsia="黑体"/>
          <w:b w:val="0"/>
        </w:rPr>
      </w:pPr>
    </w:p>
    <w:p>
      <w:pPr>
        <w:rPr>
          <w:rStyle w:val="30"/>
          <w:rFonts w:ascii="黑体" w:hAnsi="黑体" w:eastAsia="黑体"/>
          <w:b w:val="0"/>
        </w:rPr>
      </w:pPr>
    </w:p>
    <w:p>
      <w:pPr>
        <w:pStyle w:val="19"/>
        <w:rPr>
          <w:rStyle w:val="30"/>
          <w:rFonts w:ascii="黑体" w:hAnsi="黑体" w:eastAsia="黑体"/>
          <w:b w:val="0"/>
        </w:rPr>
      </w:pPr>
    </w:p>
    <w:p>
      <w:pPr>
        <w:rPr>
          <w:rStyle w:val="30"/>
          <w:rFonts w:ascii="黑体" w:hAnsi="黑体" w:eastAsia="黑体"/>
          <w:b w:val="0"/>
        </w:rPr>
      </w:pPr>
    </w:p>
    <w:p>
      <w:pPr>
        <w:pStyle w:val="19"/>
        <w:rPr>
          <w:rStyle w:val="30"/>
          <w:rFonts w:ascii="黑体" w:hAnsi="黑体" w:eastAsia="黑体"/>
          <w:b w:val="0"/>
        </w:rPr>
      </w:pPr>
    </w:p>
    <w:p>
      <w:pPr>
        <w:rPr>
          <w:rStyle w:val="30"/>
          <w:rFonts w:ascii="黑体" w:hAnsi="黑体" w:eastAsia="黑体"/>
          <w:b w:val="0"/>
        </w:rPr>
      </w:pPr>
    </w:p>
    <w:p>
      <w:pPr>
        <w:pStyle w:val="19"/>
        <w:rPr>
          <w:rStyle w:val="30"/>
          <w:rFonts w:ascii="黑体" w:hAnsi="黑体" w:eastAsia="黑体"/>
          <w:b w:val="0"/>
        </w:rPr>
      </w:pPr>
    </w:p>
    <w:p>
      <w:pPr>
        <w:rPr>
          <w:rStyle w:val="30"/>
          <w:rFonts w:ascii="黑体" w:hAnsi="黑体" w:eastAsia="黑体"/>
          <w:b w:val="0"/>
        </w:rPr>
      </w:pPr>
    </w:p>
    <w:p>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2022年巡视工作专项资金预算项目绩效  自评报告</w:t>
      </w:r>
    </w:p>
    <w:p>
      <w:pPr>
        <w:spacing w:line="578" w:lineRule="exact"/>
        <w:ind w:firstLine="640"/>
        <w:jc w:val="center"/>
        <w:rPr>
          <w:rFonts w:ascii="宋体" w:hAnsi="宋体"/>
          <w:sz w:val="32"/>
          <w:szCs w:val="32"/>
          <w:lang w:val="zh-CN"/>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开展巡察工作是巡察办的主要职责之一。</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utoSpaceDE w:val="0"/>
        <w:autoSpaceDN w:val="0"/>
        <w:adjustRightInd w:val="0"/>
        <w:spacing w:line="600" w:lineRule="exact"/>
        <w:ind w:firstLine="640" w:firstLineChars="200"/>
        <w:rPr>
          <w:rFonts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1.项目资金主要用于巡察工作开展过程中产生的一系列费用。</w:t>
      </w:r>
    </w:p>
    <w:p>
      <w:pPr>
        <w:autoSpaceDE w:val="0"/>
        <w:autoSpaceDN w:val="0"/>
        <w:adjustRightInd w:val="0"/>
        <w:spacing w:line="600" w:lineRule="exact"/>
        <w:ind w:firstLine="640" w:firstLineChars="200"/>
        <w:rPr>
          <w:rFonts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2.项目应实现的具体绩效目标为完成</w:t>
      </w:r>
      <w:r>
        <w:rPr>
          <w:rFonts w:eastAsia="仿宋_GB2312"/>
          <w:sz w:val="32"/>
          <w:szCs w:val="32"/>
          <w:lang w:val="en"/>
        </w:rPr>
        <w:t>常规</w:t>
      </w:r>
      <w:r>
        <w:rPr>
          <w:rFonts w:eastAsia="仿宋_GB2312"/>
          <w:sz w:val="32"/>
          <w:szCs w:val="32"/>
        </w:rPr>
        <w:t>巡察</w:t>
      </w:r>
      <w:r>
        <w:rPr>
          <w:rFonts w:hint="eastAsia" w:eastAsia="仿宋_GB2312"/>
          <w:sz w:val="32"/>
          <w:szCs w:val="32"/>
        </w:rPr>
        <w:t>及专项巡察工作</w:t>
      </w:r>
      <w:r>
        <w:rPr>
          <w:rFonts w:hint="eastAsia" w:ascii="仿宋_GB2312" w:hAnsi="Calibri" w:eastAsia="仿宋_GB2312" w:cs="仿宋_GB2312"/>
          <w:color w:val="000000"/>
          <w:kern w:val="0"/>
          <w:sz w:val="32"/>
          <w:szCs w:val="32"/>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项目绩效自评采用绩效运行监控分析表填列的方式，通</w:t>
      </w:r>
    </w:p>
    <w:p>
      <w:pPr>
        <w:widowControl/>
        <w:adjustRightInd w:val="0"/>
        <w:snapToGrid w:val="0"/>
        <w:spacing w:line="578" w:lineRule="exact"/>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过各类绩效指标的执行成效，对项目进行评价。</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项目资金及时到位。</w:t>
      </w:r>
    </w:p>
    <w:p>
      <w:pPr>
        <w:adjustRightInd w:val="0"/>
        <w:snapToGrid w:val="0"/>
        <w:spacing w:line="578"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78"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zh-CN"/>
        </w:rPr>
        <w:t>资金计划及到位。开展巡察工作</w:t>
      </w:r>
      <w:r>
        <w:rPr>
          <w:rFonts w:hint="eastAsia" w:ascii="仿宋_GB2312" w:hAnsi="仿宋_GB2312" w:eastAsia="仿宋_GB2312" w:cs="仿宋_GB2312"/>
          <w:bCs/>
          <w:color w:val="000000"/>
          <w:kern w:val="0"/>
          <w:sz w:val="32"/>
          <w:szCs w:val="32"/>
        </w:rPr>
        <w:t>的63万元已全部到位。</w:t>
      </w:r>
    </w:p>
    <w:p>
      <w:pPr>
        <w:adjustRightInd w:val="0"/>
        <w:snapToGrid w:val="0"/>
        <w:spacing w:line="578"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zh-CN"/>
        </w:rPr>
        <w:t>资金使用。项目资金全部用于开展巡察工作，金额合计</w:t>
      </w:r>
      <w:r>
        <w:rPr>
          <w:rFonts w:hint="eastAsia" w:ascii="仿宋_GB2312" w:hAnsi="仿宋_GB2312" w:eastAsia="仿宋_GB2312" w:cs="仿宋_GB2312"/>
          <w:kern w:val="0"/>
          <w:sz w:val="32"/>
          <w:szCs w:val="32"/>
          <w:shd w:val="clear" w:color="auto" w:fill="FFFFFF"/>
        </w:rPr>
        <w:t>63万元。</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78" w:lineRule="exact"/>
        <w:ind w:firstLine="720"/>
        <w:rPr>
          <w:rFonts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区纪委监委财务管理制度健全，严格执行财务管理制度，账务处理及时，会计核算规范。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spacing w:line="576" w:lineRule="exact"/>
        <w:ind w:firstLine="640" w:firstLineChars="200"/>
        <w:rPr>
          <w:rFonts w:eastAsia="仿宋_GB2312"/>
          <w:sz w:val="32"/>
          <w:szCs w:val="32"/>
          <w:lang w:val="zh-CN"/>
        </w:rPr>
      </w:pPr>
      <w:r>
        <w:rPr>
          <w:rFonts w:eastAsia="仿宋_GB2312"/>
          <w:sz w:val="32"/>
          <w:szCs w:val="32"/>
        </w:rPr>
        <w:t>202</w:t>
      </w:r>
      <w:r>
        <w:rPr>
          <w:rFonts w:hint="eastAsia" w:eastAsia="仿宋_GB2312"/>
          <w:sz w:val="32"/>
          <w:szCs w:val="32"/>
        </w:rPr>
        <w:t>2</w:t>
      </w:r>
      <w:r>
        <w:rPr>
          <w:rFonts w:eastAsia="仿宋_GB2312"/>
          <w:sz w:val="32"/>
          <w:szCs w:val="32"/>
        </w:rPr>
        <w:t>年</w:t>
      </w:r>
      <w:r>
        <w:rPr>
          <w:rFonts w:hint="eastAsia" w:eastAsia="仿宋_GB2312"/>
          <w:sz w:val="32"/>
          <w:szCs w:val="32"/>
        </w:rPr>
        <w:t>3</w:t>
      </w:r>
      <w:r>
        <w:rPr>
          <w:rFonts w:eastAsia="仿宋_GB2312"/>
          <w:sz w:val="32"/>
          <w:szCs w:val="32"/>
        </w:rPr>
        <w:t>月</w:t>
      </w:r>
      <w:r>
        <w:rPr>
          <w:rFonts w:hint="eastAsia" w:eastAsia="仿宋_GB2312"/>
          <w:sz w:val="32"/>
          <w:szCs w:val="32"/>
        </w:rPr>
        <w:t>至6月，区委巡察办开展了六届区委第一轮巡察工作，共安排4个小组，对8</w:t>
      </w:r>
      <w:r>
        <w:rPr>
          <w:rFonts w:eastAsia="仿宋_GB2312"/>
          <w:sz w:val="32"/>
          <w:szCs w:val="32"/>
        </w:rPr>
        <w:t>个单位</w:t>
      </w:r>
      <w:r>
        <w:rPr>
          <w:rFonts w:hint="eastAsia" w:eastAsia="仿宋_GB2312"/>
          <w:sz w:val="32"/>
          <w:szCs w:val="32"/>
        </w:rPr>
        <w:t>党组织</w:t>
      </w:r>
      <w:r>
        <w:rPr>
          <w:rFonts w:eastAsia="仿宋_GB2312"/>
          <w:sz w:val="32"/>
          <w:szCs w:val="32"/>
        </w:rPr>
        <w:t>开展</w:t>
      </w:r>
      <w:r>
        <w:rPr>
          <w:rFonts w:eastAsia="仿宋_GB2312"/>
          <w:sz w:val="32"/>
          <w:szCs w:val="32"/>
          <w:lang w:val="en"/>
        </w:rPr>
        <w:t>常规</w:t>
      </w:r>
      <w:r>
        <w:rPr>
          <w:rFonts w:eastAsia="仿宋_GB2312"/>
          <w:sz w:val="32"/>
          <w:szCs w:val="32"/>
        </w:rPr>
        <w:t>巡察</w:t>
      </w:r>
      <w:r>
        <w:rPr>
          <w:rFonts w:hint="eastAsia" w:eastAsia="仿宋_GB2312"/>
          <w:sz w:val="32"/>
          <w:szCs w:val="32"/>
          <w:lang w:val="en"/>
        </w:rPr>
        <w:t>，对</w:t>
      </w:r>
      <w:r>
        <w:rPr>
          <w:rFonts w:eastAsia="仿宋_GB2312"/>
          <w:sz w:val="32"/>
          <w:szCs w:val="32"/>
          <w:lang w:val="en"/>
        </w:rPr>
        <w:t>3个村（社区）</w:t>
      </w:r>
      <w:r>
        <w:rPr>
          <w:rFonts w:hint="eastAsia" w:eastAsia="仿宋_GB2312"/>
          <w:sz w:val="32"/>
          <w:szCs w:val="32"/>
          <w:lang w:val="en"/>
        </w:rPr>
        <w:t>党组织</w:t>
      </w:r>
      <w:r>
        <w:rPr>
          <w:rFonts w:eastAsia="仿宋_GB2312"/>
          <w:sz w:val="32"/>
          <w:szCs w:val="32"/>
          <w:lang w:val="en"/>
        </w:rPr>
        <w:t>开展</w:t>
      </w:r>
      <w:r>
        <w:rPr>
          <w:rFonts w:hint="eastAsia" w:eastAsia="仿宋_GB2312"/>
          <w:sz w:val="32"/>
          <w:szCs w:val="32"/>
          <w:lang w:val="en"/>
        </w:rPr>
        <w:t>村集体“三资”管理</w:t>
      </w:r>
      <w:r>
        <w:rPr>
          <w:rFonts w:eastAsia="仿宋_GB2312"/>
          <w:sz w:val="32"/>
          <w:szCs w:val="32"/>
          <w:lang w:val="en"/>
        </w:rPr>
        <w:t>专项巡察</w:t>
      </w:r>
      <w:r>
        <w:rPr>
          <w:rFonts w:hint="eastAsia" w:eastAsia="仿宋_GB2312"/>
          <w:sz w:val="32"/>
          <w:szCs w:val="32"/>
          <w:lang w:val="en"/>
        </w:rPr>
        <w:t>。</w:t>
      </w:r>
      <w:r>
        <w:rPr>
          <w:rFonts w:hint="eastAsia" w:eastAsia="仿宋_GB2312"/>
          <w:sz w:val="32"/>
          <w:szCs w:val="32"/>
        </w:rPr>
        <w:t>7月底</w:t>
      </w:r>
      <w:r>
        <w:rPr>
          <w:rFonts w:hint="eastAsia" w:ascii="仿宋_GB2312" w:hAnsi="仿宋_GB2312" w:eastAsia="仿宋_GB2312" w:cs="仿宋_GB2312"/>
          <w:sz w:val="32"/>
          <w:szCs w:val="32"/>
        </w:rPr>
        <w:t>启动六届区委第二轮巡察，拟对4个区级部门和4个街道开展常规巡察。</w:t>
      </w:r>
    </w:p>
    <w:p>
      <w:pPr>
        <w:numPr>
          <w:ilvl w:val="0"/>
          <w:numId w:val="5"/>
        </w:num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w:t>
      </w:r>
      <w:r>
        <w:rPr>
          <w:rFonts w:hint="eastAsia" w:ascii="仿宋_GB2312" w:hAnsi="仿宋_GB2312" w:eastAsia="仿宋_GB2312" w:cs="仿宋_GB2312"/>
          <w:sz w:val="32"/>
          <w:szCs w:val="32"/>
        </w:rPr>
        <w:t>在巡察部门（单位）期间将对发现的问题采用延伸巡察的方式，对问题真实性进行核查；对村（社区）开展巡察期间，主要采用“巡乡带村”“巡察单位带村”、直接巡察等方式开展工作。</w:t>
      </w:r>
    </w:p>
    <w:p>
      <w:pPr>
        <w:numPr>
          <w:ilvl w:val="0"/>
          <w:numId w:val="5"/>
        </w:num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autoSpaceDE w:val="0"/>
        <w:autoSpaceDN w:val="0"/>
        <w:adjustRightInd w:val="0"/>
        <w:spacing w:line="600" w:lineRule="exact"/>
        <w:ind w:firstLine="640" w:firstLineChars="200"/>
        <w:rPr>
          <w:rFonts w:ascii="黑体" w:hAnsi="宋体" w:eastAsia="黑体"/>
          <w:sz w:val="32"/>
          <w:szCs w:val="32"/>
        </w:rPr>
      </w:pPr>
      <w:r>
        <w:rPr>
          <w:rFonts w:hint="eastAsia" w:ascii="仿宋_GB2312" w:hAnsi="Calibri" w:eastAsia="仿宋_GB2312" w:cs="仿宋_GB2312"/>
          <w:color w:val="000000"/>
          <w:sz w:val="32"/>
          <w:szCs w:val="32"/>
        </w:rPr>
        <w:t>按照财务报销流程审签，大额支出由班子集体研究。</w:t>
      </w:r>
    </w:p>
    <w:p>
      <w:pPr>
        <w:adjustRightInd w:val="0"/>
        <w:snapToGrid w:val="0"/>
        <w:spacing w:line="578"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utoSpaceDE w:val="0"/>
        <w:autoSpaceDN w:val="0"/>
        <w:spacing w:line="576" w:lineRule="exact"/>
        <w:ind w:firstLine="640" w:firstLineChars="200"/>
        <w:rPr>
          <w:rFonts w:eastAsia="仿宋_GB2312" w:cs="仿宋_GB2312"/>
          <w:kern w:val="0"/>
          <w:sz w:val="32"/>
          <w:szCs w:val="32"/>
          <w:lang w:val="zh-CN" w:bidi="ar"/>
        </w:rPr>
      </w:pPr>
      <w:r>
        <w:rPr>
          <w:rFonts w:eastAsia="仿宋_GB2312" w:cs="仿宋_GB2312"/>
          <w:kern w:val="0"/>
          <w:sz w:val="32"/>
          <w:szCs w:val="32"/>
          <w:lang w:val="zh-CN" w:bidi="ar"/>
        </w:rPr>
        <w:t>2022年巡察共发现问题254个，立行立改推动解决群众反映强烈问题6个，移送线索32件，已处理处分11人</w:t>
      </w:r>
      <w:r>
        <w:rPr>
          <w:rFonts w:hint="eastAsia" w:eastAsia="仿宋_GB2312" w:cs="仿宋_GB2312"/>
          <w:kern w:val="0"/>
          <w:sz w:val="32"/>
          <w:szCs w:val="32"/>
          <w:lang w:val="zh-CN" w:bidi="ar"/>
        </w:rPr>
        <w:t>，</w:t>
      </w:r>
      <w:r>
        <w:rPr>
          <w:rFonts w:eastAsia="仿宋_GB2312" w:cs="仿宋_GB2312"/>
          <w:kern w:val="0"/>
          <w:sz w:val="32"/>
          <w:szCs w:val="32"/>
          <w:lang w:val="zh-CN" w:bidi="ar"/>
        </w:rPr>
        <w:t>确保巡察利剑震慑常在。</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78" w:lineRule="exact"/>
        <w:ind w:firstLine="720"/>
        <w:rPr>
          <w:rFonts w:ascii="楷体_GB2312" w:hAnsi="黑体" w:eastAsia="楷体_GB2312" w:cs="黑体"/>
          <w:sz w:val="32"/>
          <w:szCs w:val="32"/>
        </w:rPr>
      </w:pPr>
      <w:r>
        <w:rPr>
          <w:rFonts w:ascii="楷体_GB2312" w:hAnsi="黑体" w:eastAsia="楷体_GB2312" w:cs="黑体"/>
          <w:sz w:val="32"/>
          <w:szCs w:val="32"/>
        </w:rPr>
        <w:t>充分</w:t>
      </w:r>
      <w:r>
        <w:rPr>
          <w:rFonts w:hint="eastAsia" w:ascii="楷体_GB2312" w:hAnsi="黑体" w:eastAsia="楷体_GB2312" w:cs="黑体"/>
          <w:sz w:val="32"/>
          <w:szCs w:val="32"/>
        </w:rPr>
        <w:t>发挥了</w:t>
      </w:r>
      <w:r>
        <w:rPr>
          <w:rFonts w:ascii="楷体_GB2312" w:hAnsi="黑体" w:eastAsia="楷体_GB2312" w:cs="黑体"/>
          <w:sz w:val="32"/>
          <w:szCs w:val="32"/>
        </w:rPr>
        <w:t>巡察利剑作用。</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仿宋_GB2312" w:eastAsia="仿宋_GB2312" w:cs="仿宋_GB2312"/>
          <w:sz w:val="32"/>
          <w:szCs w:val="32"/>
        </w:rPr>
      </w:pPr>
      <w:r>
        <w:rPr>
          <w:rFonts w:ascii="仿宋_GB2312" w:hAnsi="仿宋_GB2312" w:eastAsia="仿宋_GB2312" w:cs="仿宋_GB2312"/>
          <w:sz w:val="32"/>
          <w:szCs w:val="32"/>
        </w:rPr>
        <w:t>围绕“三个聚焦”高质量完成两轮巡察。</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巡察工作有待更加深化。</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19"/>
        <w:ind w:firstLine="640" w:firstLineChars="200"/>
        <w:rPr>
          <w:kern w:val="0"/>
          <w:sz w:val="32"/>
          <w:szCs w:val="32"/>
          <w:shd w:val="clear" w:color="auto" w:fill="FFFFFF"/>
        </w:rPr>
      </w:pPr>
      <w:r>
        <w:rPr>
          <w:rFonts w:hint="eastAsia"/>
          <w:kern w:val="0"/>
          <w:sz w:val="32"/>
          <w:szCs w:val="32"/>
          <w:shd w:val="clear" w:color="auto" w:fill="FFFFFF"/>
        </w:rPr>
        <w:t>深化拓展巡察工作，高质量推动巡察“全覆盖”。</w:t>
      </w:r>
    </w:p>
    <w:p>
      <w:pPr>
        <w:pStyle w:val="19"/>
        <w:ind w:firstLine="640" w:firstLineChars="200"/>
        <w:rPr>
          <w:kern w:val="0"/>
          <w:sz w:val="32"/>
          <w:szCs w:val="32"/>
          <w:shd w:val="clear" w:color="auto" w:fill="FFFFFF"/>
        </w:rPr>
      </w:pPr>
    </w:p>
    <w:p>
      <w:pPr>
        <w:pStyle w:val="19"/>
        <w:ind w:firstLine="640" w:firstLineChars="200"/>
        <w:rPr>
          <w:kern w:val="0"/>
          <w:sz w:val="32"/>
          <w:szCs w:val="32"/>
          <w:shd w:val="clear" w:color="auto" w:fill="FFFFFF"/>
        </w:rPr>
      </w:pPr>
    </w:p>
    <w:p>
      <w:pPr>
        <w:pStyle w:val="19"/>
        <w:ind w:firstLine="640" w:firstLineChars="200"/>
        <w:rPr>
          <w:kern w:val="0"/>
          <w:sz w:val="32"/>
          <w:szCs w:val="32"/>
          <w:shd w:val="clear" w:color="auto" w:fill="FFFFFF"/>
        </w:rPr>
      </w:pPr>
    </w:p>
    <w:p>
      <w:pPr>
        <w:pStyle w:val="19"/>
        <w:ind w:firstLine="640" w:firstLineChars="200"/>
        <w:rPr>
          <w:kern w:val="0"/>
          <w:sz w:val="32"/>
          <w:szCs w:val="32"/>
          <w:shd w:val="clear" w:color="auto" w:fill="FFFFFF"/>
        </w:rPr>
      </w:pPr>
    </w:p>
    <w:p>
      <w:pPr>
        <w:pStyle w:val="19"/>
        <w:ind w:firstLine="640" w:firstLineChars="200"/>
        <w:rPr>
          <w:kern w:val="0"/>
          <w:sz w:val="32"/>
          <w:szCs w:val="32"/>
          <w:shd w:val="clear" w:color="auto" w:fill="FFFFFF"/>
        </w:rPr>
      </w:pPr>
    </w:p>
    <w:p>
      <w:pPr>
        <w:pStyle w:val="19"/>
        <w:ind w:firstLine="640" w:firstLineChars="200"/>
        <w:rPr>
          <w:kern w:val="0"/>
          <w:sz w:val="32"/>
          <w:szCs w:val="32"/>
          <w:shd w:val="clear" w:color="auto" w:fill="FFFFFF"/>
        </w:rPr>
      </w:pPr>
    </w:p>
    <w:p>
      <w:pPr>
        <w:pStyle w:val="19"/>
        <w:ind w:firstLine="640" w:firstLineChars="200"/>
        <w:rPr>
          <w:kern w:val="0"/>
          <w:sz w:val="32"/>
          <w:szCs w:val="32"/>
          <w:shd w:val="clear" w:color="auto" w:fill="FFFFFF"/>
        </w:rPr>
      </w:pPr>
    </w:p>
    <w:p>
      <w:pPr>
        <w:pStyle w:val="19"/>
        <w:ind w:firstLine="640" w:firstLineChars="200"/>
        <w:rPr>
          <w:kern w:val="0"/>
          <w:sz w:val="32"/>
          <w:szCs w:val="32"/>
          <w:shd w:val="clear" w:color="auto" w:fill="FFFFFF"/>
        </w:rPr>
      </w:pPr>
    </w:p>
    <w:p>
      <w:pPr>
        <w:pStyle w:val="19"/>
        <w:ind w:firstLine="640" w:firstLineChars="200"/>
        <w:rPr>
          <w:kern w:val="0"/>
          <w:sz w:val="32"/>
          <w:szCs w:val="32"/>
          <w:shd w:val="clear" w:color="auto" w:fill="FFFFFF"/>
        </w:rPr>
      </w:pPr>
    </w:p>
    <w:p>
      <w:pPr>
        <w:pStyle w:val="19"/>
        <w:ind w:firstLine="640" w:firstLineChars="200"/>
        <w:rPr>
          <w:kern w:val="0"/>
          <w:sz w:val="32"/>
          <w:szCs w:val="32"/>
          <w:shd w:val="clear" w:color="auto" w:fill="FFFFFF"/>
        </w:rPr>
      </w:pPr>
    </w:p>
    <w:p>
      <w:pPr>
        <w:pStyle w:val="19"/>
        <w:ind w:firstLine="640" w:firstLineChars="200"/>
        <w:rPr>
          <w:kern w:val="0"/>
          <w:sz w:val="32"/>
          <w:szCs w:val="32"/>
          <w:shd w:val="clear" w:color="auto" w:fill="FFFFFF"/>
        </w:rPr>
      </w:pPr>
    </w:p>
    <w:p>
      <w:pPr>
        <w:pStyle w:val="19"/>
        <w:ind w:firstLine="640" w:firstLineChars="200"/>
        <w:rPr>
          <w:kern w:val="0"/>
          <w:sz w:val="32"/>
          <w:szCs w:val="32"/>
          <w:shd w:val="clear" w:color="auto" w:fill="FFFFFF"/>
        </w:rPr>
      </w:pPr>
    </w:p>
    <w:p>
      <w:pPr>
        <w:pStyle w:val="19"/>
        <w:ind w:firstLine="640" w:firstLineChars="200"/>
        <w:rPr>
          <w:kern w:val="0"/>
          <w:sz w:val="32"/>
          <w:szCs w:val="32"/>
          <w:shd w:val="clear" w:color="auto" w:fill="FFFFFF"/>
        </w:rPr>
      </w:pPr>
    </w:p>
    <w:p>
      <w:pPr>
        <w:pStyle w:val="19"/>
        <w:ind w:firstLine="640" w:firstLineChars="200"/>
        <w:rPr>
          <w:kern w:val="0"/>
          <w:sz w:val="32"/>
          <w:szCs w:val="32"/>
          <w:shd w:val="clear" w:color="auto" w:fill="FFFFFF"/>
        </w:rPr>
      </w:pPr>
    </w:p>
    <w:p>
      <w:pPr>
        <w:pStyle w:val="19"/>
        <w:ind w:firstLine="640" w:firstLineChars="200"/>
        <w:rPr>
          <w:kern w:val="0"/>
          <w:sz w:val="32"/>
          <w:szCs w:val="32"/>
          <w:shd w:val="clear" w:color="auto" w:fill="FFFFFF"/>
        </w:rPr>
      </w:pPr>
    </w:p>
    <w:p>
      <w:pPr>
        <w:pStyle w:val="19"/>
        <w:rPr>
          <w:kern w:val="0"/>
          <w:sz w:val="32"/>
          <w:szCs w:val="32"/>
          <w:shd w:val="clear" w:color="auto" w:fill="FFFFFF"/>
        </w:rPr>
      </w:pPr>
    </w:p>
    <w:p>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2022年其他纪检监察事务专项资金预算项目绩效自评报告</w:t>
      </w:r>
    </w:p>
    <w:p>
      <w:pPr>
        <w:spacing w:line="578" w:lineRule="exact"/>
        <w:ind w:firstLine="640"/>
        <w:jc w:val="center"/>
        <w:rPr>
          <w:rFonts w:ascii="宋体" w:hAnsi="宋体"/>
          <w:sz w:val="32"/>
          <w:szCs w:val="32"/>
          <w:lang w:val="zh-CN"/>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监督检查是我委一项重要职责。</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utoSpaceDE w:val="0"/>
        <w:autoSpaceDN w:val="0"/>
        <w:adjustRightInd w:val="0"/>
        <w:spacing w:line="600" w:lineRule="exact"/>
        <w:ind w:firstLine="640" w:firstLineChars="200"/>
        <w:rPr>
          <w:rFonts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1.项目资金主要用于监督检查过程中产生的一系列支出。</w:t>
      </w:r>
    </w:p>
    <w:p>
      <w:pPr>
        <w:autoSpaceDE w:val="0"/>
        <w:autoSpaceDN w:val="0"/>
        <w:adjustRightInd w:val="0"/>
        <w:spacing w:line="600" w:lineRule="exact"/>
        <w:ind w:firstLine="640" w:firstLineChars="200"/>
        <w:rPr>
          <w:rFonts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2.项目应实现的具体绩效目标为完成本年内的监督检查工作任务。</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项目绩效自评采用绩效运行监控分析表填列的方式，通</w:t>
      </w:r>
    </w:p>
    <w:p>
      <w:pPr>
        <w:widowControl/>
        <w:adjustRightInd w:val="0"/>
        <w:snapToGrid w:val="0"/>
        <w:spacing w:line="578" w:lineRule="exact"/>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过各类绩效指标的执行成效，对项目进行评价。</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项目资金及时到位。</w:t>
      </w:r>
    </w:p>
    <w:p>
      <w:pPr>
        <w:adjustRightInd w:val="0"/>
        <w:snapToGrid w:val="0"/>
        <w:spacing w:line="578"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78"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zh-CN"/>
        </w:rPr>
        <w:t>资金计划及到位。</w:t>
      </w:r>
      <w:r>
        <w:rPr>
          <w:rFonts w:hint="eastAsia" w:ascii="仿宋_GB2312" w:hAnsi="仿宋_GB2312" w:eastAsia="仿宋_GB2312" w:cs="仿宋_GB2312"/>
          <w:bCs/>
          <w:color w:val="000000"/>
          <w:kern w:val="0"/>
          <w:sz w:val="32"/>
          <w:szCs w:val="32"/>
        </w:rPr>
        <w:t>监督检查的399820.7元已全部到位。</w:t>
      </w:r>
    </w:p>
    <w:p>
      <w:pPr>
        <w:adjustRightInd w:val="0"/>
        <w:snapToGrid w:val="0"/>
        <w:spacing w:line="578"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zh-CN"/>
        </w:rPr>
        <w:t>资金使用。项目资金全部用于</w:t>
      </w:r>
      <w:r>
        <w:rPr>
          <w:rFonts w:hint="eastAsia" w:ascii="仿宋_GB2312" w:hAnsi="仿宋_GB2312" w:eastAsia="仿宋_GB2312" w:cs="仿宋_GB2312"/>
          <w:bCs/>
          <w:color w:val="000000"/>
          <w:kern w:val="0"/>
          <w:sz w:val="32"/>
          <w:szCs w:val="32"/>
        </w:rPr>
        <w:t>监督检查，399820.7元已全部到位。</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Calibri" w:eastAsia="仿宋_GB2312" w:cs="仿宋_GB2312"/>
          <w:color w:val="000000"/>
          <w:kern w:val="0"/>
          <w:sz w:val="32"/>
          <w:szCs w:val="32"/>
        </w:rPr>
        <w:t>区纪委监委财务管理制度健全，严格执行财务管理制度，账务处理及时，会计核算规范。</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黑体" w:hAnsi="宋体" w:eastAsia="黑体"/>
          <w:sz w:val="32"/>
          <w:szCs w:val="32"/>
        </w:rPr>
        <w:t>三、项目实施及管理情况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utoSpaceDE w:val="0"/>
        <w:autoSpaceDN w:val="0"/>
        <w:ind w:firstLine="640" w:firstLineChars="200"/>
        <w:rPr>
          <w:rFonts w:ascii="仿宋_GB2312" w:hAnsi="Calibri" w:eastAsia="仿宋_GB2312" w:cs="仿宋_GB2312"/>
          <w:color w:val="000000"/>
          <w:kern w:val="0"/>
          <w:sz w:val="32"/>
          <w:szCs w:val="32"/>
          <w:lang w:val="zh-CN"/>
        </w:rPr>
      </w:pPr>
      <w:r>
        <w:rPr>
          <w:rFonts w:hint="eastAsia" w:ascii="仿宋_GB2312" w:hAnsi="Calibri" w:eastAsia="仿宋_GB2312" w:cs="仿宋_GB2312"/>
          <w:color w:val="000000"/>
          <w:kern w:val="0"/>
          <w:sz w:val="32"/>
          <w:szCs w:val="32"/>
          <w:lang w:val="zh-CN"/>
        </w:rPr>
        <w:t>监督检查主要由党风室牵头，各片区协作进行。</w:t>
      </w:r>
    </w:p>
    <w:p>
      <w:pPr>
        <w:numPr>
          <w:ilvl w:val="0"/>
          <w:numId w:val="6"/>
        </w:num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adjustRightInd w:val="0"/>
        <w:snapToGrid w:val="0"/>
        <w:spacing w:line="578" w:lineRule="exact"/>
        <w:ind w:firstLine="640" w:firstLineChars="200"/>
        <w:rPr>
          <w:rFonts w:ascii="仿宋_GB2312" w:hAnsi="Calibri" w:eastAsia="仿宋_GB2312" w:cs="仿宋_GB2312"/>
          <w:color w:val="000000"/>
          <w:kern w:val="0"/>
          <w:sz w:val="32"/>
          <w:szCs w:val="32"/>
          <w:lang w:val="zh-CN"/>
        </w:rPr>
      </w:pPr>
      <w:r>
        <w:rPr>
          <w:rFonts w:hint="eastAsia" w:ascii="仿宋_GB2312" w:hAnsi="Calibri" w:eastAsia="仿宋_GB2312" w:cs="仿宋_GB2312"/>
          <w:color w:val="000000"/>
          <w:kern w:val="0"/>
          <w:sz w:val="32"/>
          <w:szCs w:val="32"/>
          <w:lang w:val="zh-CN"/>
        </w:rPr>
        <w:t>按照年度重点工作安排，有序开展监督检查工作。</w:t>
      </w:r>
    </w:p>
    <w:p>
      <w:pPr>
        <w:numPr>
          <w:ilvl w:val="0"/>
          <w:numId w:val="6"/>
        </w:num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autoSpaceDE w:val="0"/>
        <w:autoSpaceDN w:val="0"/>
        <w:adjustRightInd w:val="0"/>
        <w:spacing w:line="600" w:lineRule="exact"/>
        <w:ind w:firstLine="640" w:firstLineChars="200"/>
        <w:rPr>
          <w:rFonts w:eastAsia="仿宋_GB2312"/>
          <w:sz w:val="32"/>
          <w:szCs w:val="32"/>
          <w:lang w:val="zh-CN"/>
        </w:rPr>
      </w:pPr>
      <w:r>
        <w:rPr>
          <w:rFonts w:hint="eastAsia" w:ascii="仿宋_GB2312" w:hAnsi="Calibri" w:eastAsia="仿宋_GB2312" w:cs="仿宋_GB2312"/>
          <w:color w:val="000000"/>
          <w:sz w:val="32"/>
          <w:szCs w:val="32"/>
        </w:rPr>
        <w:t>按照财务报销流程审签，大额支出由班子集体研究。</w:t>
      </w:r>
    </w:p>
    <w:p>
      <w:pPr>
        <w:adjustRightInd w:val="0"/>
        <w:snapToGrid w:val="0"/>
        <w:spacing w:line="578"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78" w:lineRule="exact"/>
        <w:ind w:firstLine="720"/>
        <w:rPr>
          <w:rFonts w:ascii="楷体_GB2312" w:hAnsi="楷体_GB2312" w:eastAsia="楷体_GB2312" w:cs="楷体_GB2312"/>
          <w:sz w:val="32"/>
          <w:szCs w:val="32"/>
        </w:rPr>
      </w:pPr>
      <w:r>
        <w:rPr>
          <w:rFonts w:hint="eastAsia" w:ascii="楷体_GB2312" w:hAnsi="楷体_GB2312" w:eastAsia="楷体_GB2312" w:cs="楷体_GB2312"/>
          <w:sz w:val="32"/>
          <w:szCs w:val="32"/>
        </w:rPr>
        <w:t>围绕“两个维护”深化政治监督，</w:t>
      </w:r>
      <w:r>
        <w:rPr>
          <w:rFonts w:ascii="楷体_GB2312" w:hAnsi="黑体" w:eastAsia="楷体_GB2312" w:cs="黑体"/>
          <w:sz w:val="32"/>
          <w:szCs w:val="32"/>
        </w:rPr>
        <w:t>做深做实做细日常监督</w:t>
      </w:r>
      <w:r>
        <w:rPr>
          <w:rFonts w:hint="eastAsia" w:ascii="楷体_GB2312" w:hAnsi="黑体" w:eastAsia="楷体_GB2312" w:cs="黑体"/>
          <w:sz w:val="32"/>
          <w:szCs w:val="32"/>
        </w:rPr>
        <w:t>，持续</w:t>
      </w:r>
      <w:r>
        <w:rPr>
          <w:rFonts w:ascii="楷体_GB2312" w:hAnsi="黑体" w:eastAsia="楷体_GB2312" w:cs="黑体"/>
          <w:sz w:val="32"/>
          <w:szCs w:val="32"/>
        </w:rPr>
        <w:t>巩固中央八项规定精神堤坝</w:t>
      </w:r>
      <w:r>
        <w:rPr>
          <w:rFonts w:hint="eastAsia" w:ascii="楷体_GB2312" w:hAnsi="楷体_GB2312" w:eastAsia="楷体_GB2312" w:cs="楷体_GB2312"/>
          <w:sz w:val="32"/>
          <w:szCs w:val="32"/>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78" w:lineRule="exact"/>
        <w:ind w:firstLine="720"/>
        <w:rPr>
          <w:rFonts w:eastAsia="仿宋_GB2312"/>
          <w:kern w:val="0"/>
          <w:sz w:val="32"/>
          <w:szCs w:val="32"/>
          <w:lang w:bidi="ar"/>
        </w:rPr>
      </w:pPr>
      <w:r>
        <w:rPr>
          <w:rFonts w:eastAsia="仿宋_GB2312"/>
          <w:sz w:val="32"/>
          <w:szCs w:val="32"/>
        </w:rPr>
        <w:t>开展借培训名义搞公款旅游专项整治，排查班次167个，63人主动说清问题，组织处理54人。</w:t>
      </w:r>
      <w:r>
        <w:rPr>
          <w:rFonts w:ascii="仿宋_GB2312" w:hAnsi="仿宋_GB2312" w:eastAsia="仿宋_GB2312" w:cs="仿宋_GB2312"/>
          <w:sz w:val="32"/>
          <w:szCs w:val="32"/>
        </w:rPr>
        <w:t>以开展“转树作抓”</w:t>
      </w:r>
      <w:r>
        <w:rPr>
          <w:rFonts w:hint="eastAsia" w:ascii="仿宋_GB2312" w:hAnsi="仿宋_GB2312" w:eastAsia="仿宋_GB2312" w:cs="仿宋_GB2312"/>
          <w:sz w:val="32"/>
          <w:szCs w:val="32"/>
        </w:rPr>
        <w:t>专项</w:t>
      </w:r>
      <w:r>
        <w:rPr>
          <w:rFonts w:ascii="仿宋_GB2312" w:hAnsi="仿宋_GB2312" w:eastAsia="仿宋_GB2312" w:cs="仿宋_GB2312"/>
          <w:sz w:val="32"/>
          <w:szCs w:val="32"/>
        </w:rPr>
        <w:t>行动为契机，</w:t>
      </w:r>
      <w:r>
        <w:rPr>
          <w:rFonts w:eastAsia="仿宋_GB2312"/>
          <w:kern w:val="0"/>
          <w:sz w:val="32"/>
          <w:szCs w:val="32"/>
          <w:lang w:bidi="ar"/>
        </w:rPr>
        <w:t>下大力气整治干部作风，严肃查处干部作风问题37件57人，建立健全规章制度52项。2022年查处违反中央八项规定精神问题31件35人，给予党纪政务处分29人，点名道姓通报曝光18起27人</w:t>
      </w:r>
      <w:r>
        <w:rPr>
          <w:rFonts w:hint="eastAsia" w:eastAsia="仿宋_GB2312"/>
          <w:kern w:val="0"/>
          <w:sz w:val="32"/>
          <w:szCs w:val="32"/>
          <w:lang w:bidi="ar"/>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强化了政治监督，推动党的二十大决策部署落地见效；做实监督首责，提高监督能力提升监督效能。</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无。</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 xml:space="preserve">无。 </w:t>
      </w:r>
    </w:p>
    <w:p>
      <w:pPr>
        <w:pStyle w:val="19"/>
        <w:ind w:firstLine="880" w:firstLineChars="200"/>
      </w:pPr>
      <w:r>
        <w:rPr>
          <w:rStyle w:val="30"/>
          <w:rFonts w:ascii="黑体" w:hAnsi="黑体" w:eastAsia="黑体"/>
          <w:b w:val="0"/>
        </w:rPr>
        <w:br w:type="page"/>
      </w:r>
    </w:p>
    <w:p>
      <w:pPr>
        <w:pStyle w:val="3"/>
        <w:spacing w:before="0"/>
        <w:jc w:val="center"/>
        <w:rPr>
          <w:rFonts w:ascii="黑体" w:hAnsi="黑体" w:eastAsia="黑体"/>
          <w:b w:val="0"/>
        </w:rPr>
      </w:pPr>
      <w:bookmarkStart w:id="63" w:name="_Toc15396618"/>
      <w:r>
        <w:rPr>
          <w:rFonts w:hint="eastAsia" w:ascii="黑体" w:hAnsi="黑体" w:eastAsia="黑体"/>
          <w:b w:val="0"/>
        </w:rPr>
        <w:t>第</w:t>
      </w:r>
      <w:r>
        <w:rPr>
          <w:rFonts w:hint="eastAsia" w:ascii="黑体" w:hAnsi="黑体" w:eastAsia="黑体"/>
          <w:b w:val="0"/>
          <w:bCs w:val="0"/>
        </w:rPr>
        <w:t>五部分</w:t>
      </w:r>
      <w:r>
        <w:rPr>
          <w:rFonts w:hint="eastAsia" w:ascii="黑体" w:hAnsi="黑体" w:eastAsia="黑体"/>
          <w:bCs w:val="0"/>
        </w:rPr>
        <w:t xml:space="preserve"> </w:t>
      </w:r>
      <w:r>
        <w:rPr>
          <w:rFonts w:hint="eastAsia" w:ascii="黑体" w:hAnsi="黑体" w:eastAsia="黑体"/>
          <w:b w:val="0"/>
          <w:bCs w:val="0"/>
        </w:rPr>
        <w:t>附表</w:t>
      </w:r>
      <w:bookmarkEnd w:id="61"/>
      <w:bookmarkEnd w:id="63"/>
      <w:bookmarkStart w:id="64" w:name="_Toc15396619"/>
    </w:p>
    <w:p>
      <w:pPr>
        <w:pStyle w:val="4"/>
        <w:rPr>
          <w:rFonts w:ascii="仿宋_GB2312" w:hAnsi="仿宋" w:eastAsia="仿宋_GB2312"/>
          <w:b w:val="0"/>
        </w:rPr>
      </w:pPr>
      <w:r>
        <w:rPr>
          <w:rFonts w:hint="eastAsia" w:ascii="仿宋_GB2312" w:hAnsi="仿宋" w:eastAsia="仿宋_GB2312"/>
          <w:b w:val="0"/>
        </w:rPr>
        <w:t>一、收入支出决算总表</w:t>
      </w:r>
      <w:bookmarkEnd w:id="64"/>
    </w:p>
    <w:p>
      <w:pPr>
        <w:pStyle w:val="4"/>
        <w:rPr>
          <w:rFonts w:ascii="仿宋_GB2312" w:hAnsi="仿宋" w:eastAsia="仿宋_GB2312"/>
        </w:rPr>
      </w:pPr>
      <w:bookmarkStart w:id="65" w:name="_Toc15396620"/>
      <w:r>
        <w:rPr>
          <w:rFonts w:hint="eastAsia" w:ascii="仿宋_GB2312" w:hAnsi="仿宋" w:eastAsia="仿宋_GB2312"/>
          <w:b w:val="0"/>
        </w:rPr>
        <w:t>二、收</w:t>
      </w:r>
      <w:r>
        <w:rPr>
          <w:rStyle w:val="31"/>
          <w:rFonts w:hint="eastAsia" w:ascii="仿宋_GB2312" w:hAnsi="仿宋" w:eastAsia="仿宋_GB2312"/>
          <w:b w:val="0"/>
          <w:bCs w:val="0"/>
        </w:rPr>
        <w:t>入决算表</w:t>
      </w:r>
      <w:bookmarkEnd w:id="65"/>
    </w:p>
    <w:p>
      <w:pPr>
        <w:pStyle w:val="4"/>
        <w:rPr>
          <w:rFonts w:ascii="仿宋_GB2312" w:hAnsi="仿宋" w:eastAsia="仿宋_GB2312"/>
        </w:rPr>
      </w:pPr>
      <w:bookmarkStart w:id="66" w:name="_Toc15396621"/>
      <w:r>
        <w:rPr>
          <w:rStyle w:val="31"/>
          <w:rFonts w:hint="eastAsia" w:ascii="仿宋_GB2312" w:hAnsi="仿宋" w:eastAsia="仿宋_GB2312"/>
          <w:b w:val="0"/>
          <w:bCs w:val="0"/>
        </w:rPr>
        <w:t>三、</w:t>
      </w:r>
      <w:r>
        <w:rPr>
          <w:rFonts w:hint="eastAsia" w:ascii="仿宋_GB2312" w:hAnsi="仿宋" w:eastAsia="仿宋_GB2312"/>
          <w:b w:val="0"/>
        </w:rPr>
        <w:t>支</w:t>
      </w:r>
      <w:r>
        <w:rPr>
          <w:rStyle w:val="31"/>
          <w:rFonts w:hint="eastAsia" w:ascii="仿宋_GB2312" w:hAnsi="仿宋" w:eastAsia="仿宋_GB2312"/>
          <w:b w:val="0"/>
          <w:bCs w:val="0"/>
        </w:rPr>
        <w:t>出决算表</w:t>
      </w:r>
      <w:bookmarkEnd w:id="66"/>
    </w:p>
    <w:p>
      <w:pPr>
        <w:pStyle w:val="4"/>
        <w:rPr>
          <w:rFonts w:ascii="仿宋_GB2312" w:hAnsi="仿宋" w:eastAsia="仿宋_GB2312"/>
          <w:b w:val="0"/>
        </w:rPr>
      </w:pPr>
      <w:bookmarkStart w:id="67" w:name="_Toc15396622"/>
      <w:r>
        <w:rPr>
          <w:rStyle w:val="31"/>
          <w:rFonts w:hint="eastAsia" w:ascii="仿宋_GB2312" w:hAnsi="仿宋" w:eastAsia="仿宋_GB2312"/>
          <w:b w:val="0"/>
          <w:bCs w:val="0"/>
        </w:rPr>
        <w:t>四、</w:t>
      </w:r>
      <w:r>
        <w:rPr>
          <w:rFonts w:hint="eastAsia" w:ascii="仿宋_GB2312" w:hAnsi="仿宋" w:eastAsia="仿宋_GB2312"/>
          <w:b w:val="0"/>
        </w:rPr>
        <w:t>财</w:t>
      </w:r>
      <w:r>
        <w:rPr>
          <w:rStyle w:val="31"/>
          <w:rFonts w:hint="eastAsia" w:ascii="仿宋_GB2312" w:hAnsi="仿宋" w:eastAsia="仿宋_GB2312"/>
          <w:b w:val="0"/>
          <w:bCs w:val="0"/>
        </w:rPr>
        <w:t>政拨款收入支出决算总表</w:t>
      </w:r>
      <w:bookmarkEnd w:id="67"/>
    </w:p>
    <w:p>
      <w:pPr>
        <w:pStyle w:val="4"/>
        <w:rPr>
          <w:rStyle w:val="31"/>
          <w:rFonts w:ascii="仿宋_GB2312" w:hAnsi="仿宋" w:eastAsia="仿宋_GB2312"/>
          <w:b w:val="0"/>
          <w:bCs w:val="0"/>
        </w:rPr>
      </w:pPr>
      <w:bookmarkStart w:id="68" w:name="_Toc15396623"/>
      <w:r>
        <w:rPr>
          <w:rStyle w:val="31"/>
          <w:rFonts w:hint="eastAsia" w:ascii="仿宋_GB2312" w:hAnsi="仿宋" w:eastAsia="仿宋_GB2312"/>
          <w:b w:val="0"/>
          <w:bCs w:val="0"/>
        </w:rPr>
        <w:t>五、</w:t>
      </w:r>
      <w:r>
        <w:rPr>
          <w:rFonts w:hint="eastAsia" w:ascii="仿宋_GB2312" w:hAnsi="仿宋" w:eastAsia="仿宋_GB2312"/>
          <w:b w:val="0"/>
        </w:rPr>
        <w:t>财</w:t>
      </w:r>
      <w:r>
        <w:rPr>
          <w:rStyle w:val="31"/>
          <w:rFonts w:hint="eastAsia" w:ascii="仿宋_GB2312" w:hAnsi="仿宋" w:eastAsia="仿宋_GB2312"/>
          <w:b w:val="0"/>
          <w:bCs w:val="0"/>
        </w:rPr>
        <w:t>政拨款支出决算明细表</w:t>
      </w:r>
      <w:bookmarkEnd w:id="68"/>
      <w:bookmarkStart w:id="69" w:name="_Toc15396624"/>
    </w:p>
    <w:p>
      <w:pPr>
        <w:pStyle w:val="4"/>
        <w:rPr>
          <w:rFonts w:ascii="仿宋_GB2312" w:hAnsi="仿宋" w:eastAsia="仿宋_GB2312"/>
        </w:rPr>
      </w:pPr>
      <w:r>
        <w:rPr>
          <w:rStyle w:val="31"/>
          <w:rFonts w:hint="eastAsia" w:ascii="仿宋_GB2312" w:hAnsi="仿宋" w:eastAsia="仿宋_GB2312"/>
          <w:b w:val="0"/>
          <w:bCs w:val="0"/>
        </w:rPr>
        <w:t>六、</w:t>
      </w:r>
      <w:r>
        <w:rPr>
          <w:rFonts w:hint="eastAsia" w:ascii="仿宋_GB2312" w:hAnsi="仿宋" w:eastAsia="仿宋_GB2312"/>
          <w:b w:val="0"/>
        </w:rPr>
        <w:t>一</w:t>
      </w:r>
      <w:r>
        <w:rPr>
          <w:rStyle w:val="31"/>
          <w:rFonts w:hint="eastAsia" w:ascii="仿宋_GB2312" w:hAnsi="仿宋" w:eastAsia="仿宋_GB2312"/>
          <w:b w:val="0"/>
          <w:bCs w:val="0"/>
        </w:rPr>
        <w:t>般公共预算财政拨款支出决算表</w:t>
      </w:r>
      <w:bookmarkEnd w:id="69"/>
    </w:p>
    <w:p>
      <w:pPr>
        <w:pStyle w:val="4"/>
        <w:rPr>
          <w:rFonts w:ascii="仿宋_GB2312" w:hAnsi="仿宋" w:eastAsia="仿宋_GB2312"/>
        </w:rPr>
      </w:pPr>
      <w:bookmarkStart w:id="70" w:name="_Toc15396625"/>
      <w:r>
        <w:rPr>
          <w:rStyle w:val="31"/>
          <w:rFonts w:hint="eastAsia" w:ascii="仿宋_GB2312" w:hAnsi="仿宋" w:eastAsia="仿宋_GB2312"/>
          <w:b w:val="0"/>
          <w:bCs w:val="0"/>
        </w:rPr>
        <w:t>七、</w:t>
      </w:r>
      <w:r>
        <w:rPr>
          <w:rFonts w:hint="eastAsia" w:ascii="仿宋_GB2312" w:hAnsi="仿宋" w:eastAsia="仿宋_GB2312"/>
          <w:b w:val="0"/>
        </w:rPr>
        <w:t>一</w:t>
      </w:r>
      <w:r>
        <w:rPr>
          <w:rStyle w:val="31"/>
          <w:rFonts w:hint="eastAsia" w:ascii="仿宋_GB2312" w:hAnsi="仿宋" w:eastAsia="仿宋_GB2312"/>
          <w:b w:val="0"/>
          <w:bCs w:val="0"/>
        </w:rPr>
        <w:t>般公共预算财政拨款支出决算明细表</w:t>
      </w:r>
      <w:bookmarkEnd w:id="70"/>
    </w:p>
    <w:p>
      <w:pPr>
        <w:pStyle w:val="4"/>
        <w:rPr>
          <w:rFonts w:ascii="仿宋_GB2312" w:hAnsi="仿宋" w:eastAsia="仿宋_GB2312"/>
        </w:rPr>
      </w:pPr>
      <w:bookmarkStart w:id="71" w:name="_Toc15396626"/>
      <w:r>
        <w:rPr>
          <w:rStyle w:val="31"/>
          <w:rFonts w:hint="eastAsia" w:ascii="仿宋_GB2312" w:hAnsi="仿宋" w:eastAsia="仿宋_GB2312"/>
          <w:b w:val="0"/>
          <w:bCs w:val="0"/>
        </w:rPr>
        <w:t>八、</w:t>
      </w:r>
      <w:r>
        <w:rPr>
          <w:rFonts w:hint="eastAsia" w:ascii="仿宋_GB2312" w:hAnsi="仿宋" w:eastAsia="仿宋_GB2312"/>
          <w:b w:val="0"/>
        </w:rPr>
        <w:t>一</w:t>
      </w:r>
      <w:r>
        <w:rPr>
          <w:rStyle w:val="31"/>
          <w:rFonts w:hint="eastAsia" w:ascii="仿宋_GB2312" w:hAnsi="仿宋" w:eastAsia="仿宋_GB2312"/>
          <w:b w:val="0"/>
          <w:bCs w:val="0"/>
        </w:rPr>
        <w:t>般公共预算财政拨款基本支出决算表</w:t>
      </w:r>
      <w:bookmarkEnd w:id="71"/>
    </w:p>
    <w:p>
      <w:pPr>
        <w:pStyle w:val="4"/>
        <w:rPr>
          <w:rFonts w:ascii="仿宋_GB2312" w:hAnsi="仿宋" w:eastAsia="仿宋_GB2312"/>
        </w:rPr>
      </w:pPr>
      <w:bookmarkStart w:id="72" w:name="_Toc15396627"/>
      <w:r>
        <w:rPr>
          <w:rStyle w:val="31"/>
          <w:rFonts w:hint="eastAsia" w:ascii="仿宋_GB2312" w:hAnsi="仿宋" w:eastAsia="仿宋_GB2312"/>
          <w:b w:val="0"/>
          <w:bCs w:val="0"/>
        </w:rPr>
        <w:t>九、</w:t>
      </w:r>
      <w:r>
        <w:rPr>
          <w:rFonts w:hint="eastAsia" w:ascii="仿宋_GB2312" w:hAnsi="仿宋" w:eastAsia="仿宋_GB2312"/>
          <w:b w:val="0"/>
        </w:rPr>
        <w:t>一</w:t>
      </w:r>
      <w:r>
        <w:rPr>
          <w:rStyle w:val="31"/>
          <w:rFonts w:hint="eastAsia" w:ascii="仿宋_GB2312" w:hAnsi="仿宋" w:eastAsia="仿宋_GB2312"/>
          <w:b w:val="0"/>
          <w:bCs w:val="0"/>
        </w:rPr>
        <w:t>般公共预算财政拨款项目支出决算表</w:t>
      </w:r>
      <w:bookmarkEnd w:id="72"/>
    </w:p>
    <w:p>
      <w:pPr>
        <w:pStyle w:val="4"/>
        <w:rPr>
          <w:rFonts w:ascii="仿宋_GB2312" w:hAnsi="仿宋" w:eastAsia="仿宋_GB2312"/>
        </w:rPr>
      </w:pPr>
      <w:bookmarkStart w:id="73" w:name="_Toc15396628"/>
      <w:r>
        <w:rPr>
          <w:rStyle w:val="31"/>
          <w:rFonts w:hint="eastAsia" w:ascii="仿宋_GB2312" w:hAnsi="仿宋" w:eastAsia="仿宋_GB2312"/>
          <w:b w:val="0"/>
          <w:bCs w:val="0"/>
        </w:rPr>
        <w:t>十、</w:t>
      </w:r>
      <w:bookmarkEnd w:id="73"/>
      <w:r>
        <w:rPr>
          <w:rFonts w:hint="eastAsia" w:ascii="仿宋_GB2312" w:hAnsi="仿宋" w:eastAsia="仿宋_GB2312"/>
          <w:b w:val="0"/>
        </w:rPr>
        <w:t>政</w:t>
      </w:r>
      <w:r>
        <w:rPr>
          <w:rStyle w:val="31"/>
          <w:rFonts w:hint="eastAsia" w:ascii="仿宋_GB2312" w:hAnsi="仿宋" w:eastAsia="仿宋_GB2312"/>
          <w:b w:val="0"/>
          <w:bCs w:val="0"/>
        </w:rPr>
        <w:t>府性基金预算财政拨款收入支出决算表</w:t>
      </w:r>
    </w:p>
    <w:p>
      <w:pPr>
        <w:pStyle w:val="4"/>
        <w:rPr>
          <w:rFonts w:ascii="仿宋_GB2312" w:hAnsi="仿宋" w:eastAsia="仿宋_GB2312"/>
        </w:rPr>
      </w:pPr>
      <w:bookmarkStart w:id="74" w:name="_Toc15396629"/>
      <w:r>
        <w:rPr>
          <w:rStyle w:val="31"/>
          <w:rFonts w:hint="eastAsia" w:ascii="仿宋_GB2312" w:hAnsi="仿宋" w:eastAsia="仿宋_GB2312"/>
          <w:b w:val="0"/>
          <w:bCs w:val="0"/>
        </w:rPr>
        <w:t>十一、</w:t>
      </w:r>
      <w:bookmarkEnd w:id="74"/>
      <w:r>
        <w:rPr>
          <w:rFonts w:hint="eastAsia" w:ascii="仿宋_GB2312" w:hAnsi="仿宋" w:eastAsia="仿宋_GB2312"/>
          <w:b w:val="0"/>
        </w:rPr>
        <w:t>国</w:t>
      </w:r>
      <w:r>
        <w:rPr>
          <w:rStyle w:val="31"/>
          <w:rFonts w:hint="eastAsia" w:ascii="仿宋_GB2312" w:hAnsi="仿宋" w:eastAsia="仿宋_GB2312"/>
          <w:b w:val="0"/>
          <w:bCs w:val="0"/>
        </w:rPr>
        <w:t>有资本经营预算财政拨款收入支出决算表</w:t>
      </w:r>
    </w:p>
    <w:p>
      <w:pPr>
        <w:pStyle w:val="4"/>
        <w:rPr>
          <w:rFonts w:ascii="仿宋_GB2312" w:hAnsi="仿宋" w:eastAsia="仿宋_GB2312"/>
        </w:rPr>
      </w:pPr>
      <w:bookmarkStart w:id="75" w:name="_Toc15396630"/>
      <w:r>
        <w:rPr>
          <w:rStyle w:val="31"/>
          <w:rFonts w:hint="eastAsia" w:ascii="仿宋_GB2312" w:hAnsi="仿宋" w:eastAsia="仿宋_GB2312"/>
          <w:b w:val="0"/>
          <w:bCs w:val="0"/>
        </w:rPr>
        <w:t>十二、</w:t>
      </w:r>
      <w:bookmarkEnd w:id="75"/>
      <w:r>
        <w:rPr>
          <w:rStyle w:val="31"/>
          <w:rFonts w:hint="eastAsia" w:ascii="仿宋_GB2312" w:hAnsi="仿宋" w:eastAsia="仿宋_GB2312"/>
          <w:b w:val="0"/>
          <w:bCs w:val="0"/>
        </w:rPr>
        <w:t>国有资本经营预算财政拨款支出决算表</w:t>
      </w:r>
    </w:p>
    <w:p>
      <w:pPr>
        <w:pStyle w:val="4"/>
        <w:rPr>
          <w:rFonts w:ascii="仿宋_GB2312" w:eastAsia="仿宋_GB2312"/>
        </w:rPr>
      </w:pPr>
      <w:bookmarkStart w:id="76" w:name="_Toc15396631"/>
      <w:r>
        <w:rPr>
          <w:rStyle w:val="31"/>
          <w:rFonts w:hint="eastAsia" w:ascii="仿宋_GB2312" w:hAnsi="仿宋" w:eastAsia="仿宋_GB2312"/>
          <w:b w:val="0"/>
          <w:bCs w:val="0"/>
        </w:rPr>
        <w:t>十三、</w:t>
      </w:r>
      <w:bookmarkEnd w:id="76"/>
      <w:r>
        <w:rPr>
          <w:rStyle w:val="31"/>
          <w:rFonts w:hint="eastAsia" w:ascii="仿宋_GB2312" w:hAnsi="仿宋" w:eastAsia="仿宋_GB2312"/>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DC2DC"/>
    <w:multiLevelType w:val="singleLevel"/>
    <w:tmpl w:val="865DC2DC"/>
    <w:lvl w:ilvl="0" w:tentative="0">
      <w:start w:val="2"/>
      <w:numFmt w:val="chineseCounting"/>
      <w:suff w:val="nothing"/>
      <w:lvlText w:val="（%1）"/>
      <w:lvlJc w:val="left"/>
      <w:rPr>
        <w:rFonts w:hint="eastAsia"/>
      </w:rPr>
    </w:lvl>
  </w:abstractNum>
  <w:abstractNum w:abstractNumId="1">
    <w:nsid w:val="D099BBBB"/>
    <w:multiLevelType w:val="singleLevel"/>
    <w:tmpl w:val="D099BBBB"/>
    <w:lvl w:ilvl="0" w:tentative="0">
      <w:start w:val="2"/>
      <w:numFmt w:val="chineseCounting"/>
      <w:suff w:val="nothing"/>
      <w:lvlText w:val="（%1）"/>
      <w:lvlJc w:val="left"/>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089A0348"/>
    <w:multiLevelType w:val="singleLevel"/>
    <w:tmpl w:val="089A0348"/>
    <w:lvl w:ilvl="0" w:tentative="0">
      <w:start w:val="2"/>
      <w:numFmt w:val="chineseCounting"/>
      <w:suff w:val="nothing"/>
      <w:lvlText w:val="（%1）"/>
      <w:lvlJc w:val="left"/>
      <w:rPr>
        <w:rFonts w:hint="eastAsia"/>
      </w:rPr>
    </w:lvl>
  </w:abstractNum>
  <w:abstractNum w:abstractNumId="4">
    <w:nsid w:val="35D11527"/>
    <w:multiLevelType w:val="singleLevel"/>
    <w:tmpl w:val="35D11527"/>
    <w:lvl w:ilvl="0" w:tentative="0">
      <w:start w:val="2"/>
      <w:numFmt w:val="chineseCounting"/>
      <w:suff w:val="nothing"/>
      <w:lvlText w:val="（%1）"/>
      <w:lvlJc w:val="left"/>
      <w:rPr>
        <w:rFonts w:hint="eastAsia"/>
      </w:rPr>
    </w:lvl>
  </w:abstractNum>
  <w:abstractNum w:abstractNumId="5">
    <w:nsid w:val="6CAEBEED"/>
    <w:multiLevelType w:val="singleLevel"/>
    <w:tmpl w:val="6CAEBEED"/>
    <w:lvl w:ilvl="0" w:tentative="0">
      <w:start w:val="2"/>
      <w:numFmt w:val="chineseCounting"/>
      <w:suff w:val="nothing"/>
      <w:lvlText w:val="（%1）"/>
      <w:lvlJc w:val="left"/>
      <w:rPr>
        <w:rFonts w:hint="eastAsia"/>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ZGQ2MTc5ZWQxMTc3ZDQ2MGE2N2VmYTY3NTAxYWMifQ=="/>
  </w:docVars>
  <w:rsids>
    <w:rsidRoot w:val="00F1361C"/>
    <w:rsid w:val="000000D0"/>
    <w:rsid w:val="00007D88"/>
    <w:rsid w:val="000145FE"/>
    <w:rsid w:val="00021C43"/>
    <w:rsid w:val="000222C6"/>
    <w:rsid w:val="0002397B"/>
    <w:rsid w:val="0002549F"/>
    <w:rsid w:val="000308E1"/>
    <w:rsid w:val="00037A72"/>
    <w:rsid w:val="00044F23"/>
    <w:rsid w:val="00046576"/>
    <w:rsid w:val="000468DB"/>
    <w:rsid w:val="00046F5A"/>
    <w:rsid w:val="00055687"/>
    <w:rsid w:val="00057B58"/>
    <w:rsid w:val="00062B94"/>
    <w:rsid w:val="0006487A"/>
    <w:rsid w:val="00065F8F"/>
    <w:rsid w:val="0006645C"/>
    <w:rsid w:val="000668C2"/>
    <w:rsid w:val="00067B16"/>
    <w:rsid w:val="000708B5"/>
    <w:rsid w:val="00070A43"/>
    <w:rsid w:val="0007455B"/>
    <w:rsid w:val="00075EE2"/>
    <w:rsid w:val="000768F2"/>
    <w:rsid w:val="00076FAC"/>
    <w:rsid w:val="000776BA"/>
    <w:rsid w:val="00087BFF"/>
    <w:rsid w:val="000909ED"/>
    <w:rsid w:val="00090A17"/>
    <w:rsid w:val="0009184B"/>
    <w:rsid w:val="00094236"/>
    <w:rsid w:val="0009593C"/>
    <w:rsid w:val="00097322"/>
    <w:rsid w:val="000A6A92"/>
    <w:rsid w:val="000A735C"/>
    <w:rsid w:val="000B047F"/>
    <w:rsid w:val="000B392D"/>
    <w:rsid w:val="000B5923"/>
    <w:rsid w:val="000B5A48"/>
    <w:rsid w:val="000B6FF3"/>
    <w:rsid w:val="000B7A76"/>
    <w:rsid w:val="000C2A98"/>
    <w:rsid w:val="000C3467"/>
    <w:rsid w:val="000C3CA6"/>
    <w:rsid w:val="000C66E1"/>
    <w:rsid w:val="000C69DB"/>
    <w:rsid w:val="000D1267"/>
    <w:rsid w:val="000D1D50"/>
    <w:rsid w:val="000D5782"/>
    <w:rsid w:val="000D5879"/>
    <w:rsid w:val="000D667B"/>
    <w:rsid w:val="000D6EF1"/>
    <w:rsid w:val="000E47B2"/>
    <w:rsid w:val="000E6613"/>
    <w:rsid w:val="000E7119"/>
    <w:rsid w:val="000F1747"/>
    <w:rsid w:val="00114E9B"/>
    <w:rsid w:val="0012139D"/>
    <w:rsid w:val="001249D7"/>
    <w:rsid w:val="00133B0A"/>
    <w:rsid w:val="00134186"/>
    <w:rsid w:val="00142216"/>
    <w:rsid w:val="00144D6A"/>
    <w:rsid w:val="001459FF"/>
    <w:rsid w:val="0014729F"/>
    <w:rsid w:val="00152198"/>
    <w:rsid w:val="00157BAB"/>
    <w:rsid w:val="00165445"/>
    <w:rsid w:val="001654D1"/>
    <w:rsid w:val="00172D59"/>
    <w:rsid w:val="00174518"/>
    <w:rsid w:val="001751EB"/>
    <w:rsid w:val="0017548C"/>
    <w:rsid w:val="00177F12"/>
    <w:rsid w:val="0018106D"/>
    <w:rsid w:val="001877A7"/>
    <w:rsid w:val="00191536"/>
    <w:rsid w:val="00193AA7"/>
    <w:rsid w:val="00193ECB"/>
    <w:rsid w:val="00196687"/>
    <w:rsid w:val="0019775F"/>
    <w:rsid w:val="001A0422"/>
    <w:rsid w:val="001A3521"/>
    <w:rsid w:val="001B17BA"/>
    <w:rsid w:val="001B411E"/>
    <w:rsid w:val="001C0962"/>
    <w:rsid w:val="001C4EFD"/>
    <w:rsid w:val="001C619B"/>
    <w:rsid w:val="001C6BA0"/>
    <w:rsid w:val="001D16B0"/>
    <w:rsid w:val="001D2556"/>
    <w:rsid w:val="001D5350"/>
    <w:rsid w:val="001D7531"/>
    <w:rsid w:val="001E7205"/>
    <w:rsid w:val="001E737D"/>
    <w:rsid w:val="001E768C"/>
    <w:rsid w:val="001E7C3D"/>
    <w:rsid w:val="001F0592"/>
    <w:rsid w:val="001F59D2"/>
    <w:rsid w:val="001F66F5"/>
    <w:rsid w:val="001F7506"/>
    <w:rsid w:val="002006CD"/>
    <w:rsid w:val="00202B36"/>
    <w:rsid w:val="00204B7A"/>
    <w:rsid w:val="00204CDE"/>
    <w:rsid w:val="00205DAF"/>
    <w:rsid w:val="0021101A"/>
    <w:rsid w:val="00213F47"/>
    <w:rsid w:val="00214675"/>
    <w:rsid w:val="0021786D"/>
    <w:rsid w:val="00220536"/>
    <w:rsid w:val="002210DC"/>
    <w:rsid w:val="002326E5"/>
    <w:rsid w:val="002346EC"/>
    <w:rsid w:val="00235204"/>
    <w:rsid w:val="00235629"/>
    <w:rsid w:val="00235F73"/>
    <w:rsid w:val="00240051"/>
    <w:rsid w:val="00240DEA"/>
    <w:rsid w:val="00240F9D"/>
    <w:rsid w:val="002429A1"/>
    <w:rsid w:val="00243CAD"/>
    <w:rsid w:val="00245A2B"/>
    <w:rsid w:val="00252BD6"/>
    <w:rsid w:val="00254872"/>
    <w:rsid w:val="00260C38"/>
    <w:rsid w:val="002616C0"/>
    <w:rsid w:val="002621E4"/>
    <w:rsid w:val="00265372"/>
    <w:rsid w:val="002662AA"/>
    <w:rsid w:val="00267B81"/>
    <w:rsid w:val="002708F8"/>
    <w:rsid w:val="0027640A"/>
    <w:rsid w:val="00280496"/>
    <w:rsid w:val="00282041"/>
    <w:rsid w:val="0028259C"/>
    <w:rsid w:val="002865A9"/>
    <w:rsid w:val="00286BCE"/>
    <w:rsid w:val="00290AA0"/>
    <w:rsid w:val="00294DC9"/>
    <w:rsid w:val="00295495"/>
    <w:rsid w:val="002A108E"/>
    <w:rsid w:val="002A31DE"/>
    <w:rsid w:val="002B2613"/>
    <w:rsid w:val="002B78F9"/>
    <w:rsid w:val="002C28B5"/>
    <w:rsid w:val="002C4B38"/>
    <w:rsid w:val="002D3D4B"/>
    <w:rsid w:val="002D4D8D"/>
    <w:rsid w:val="002D6D05"/>
    <w:rsid w:val="002F1818"/>
    <w:rsid w:val="002F2810"/>
    <w:rsid w:val="002F469C"/>
    <w:rsid w:val="002F567B"/>
    <w:rsid w:val="00303E1C"/>
    <w:rsid w:val="0030531B"/>
    <w:rsid w:val="003062B9"/>
    <w:rsid w:val="00311506"/>
    <w:rsid w:val="00316CDD"/>
    <w:rsid w:val="00321646"/>
    <w:rsid w:val="003216A9"/>
    <w:rsid w:val="003224A3"/>
    <w:rsid w:val="00327638"/>
    <w:rsid w:val="0033482F"/>
    <w:rsid w:val="003358E6"/>
    <w:rsid w:val="00335A74"/>
    <w:rsid w:val="00341C20"/>
    <w:rsid w:val="003428DE"/>
    <w:rsid w:val="0034691D"/>
    <w:rsid w:val="00346F73"/>
    <w:rsid w:val="003642D8"/>
    <w:rsid w:val="0036561B"/>
    <w:rsid w:val="00367F80"/>
    <w:rsid w:val="0037013F"/>
    <w:rsid w:val="003711C2"/>
    <w:rsid w:val="00380C92"/>
    <w:rsid w:val="00381DB3"/>
    <w:rsid w:val="00386889"/>
    <w:rsid w:val="003868EA"/>
    <w:rsid w:val="0039163F"/>
    <w:rsid w:val="003A484F"/>
    <w:rsid w:val="003A4883"/>
    <w:rsid w:val="003B0BE0"/>
    <w:rsid w:val="003B0C1B"/>
    <w:rsid w:val="003B4AC1"/>
    <w:rsid w:val="003B688C"/>
    <w:rsid w:val="003B7215"/>
    <w:rsid w:val="003C0291"/>
    <w:rsid w:val="003C39AE"/>
    <w:rsid w:val="003C7B60"/>
    <w:rsid w:val="003D0C0F"/>
    <w:rsid w:val="003D1FB2"/>
    <w:rsid w:val="003D414C"/>
    <w:rsid w:val="003D5603"/>
    <w:rsid w:val="003D66DA"/>
    <w:rsid w:val="003E1310"/>
    <w:rsid w:val="003E17F9"/>
    <w:rsid w:val="003E6030"/>
    <w:rsid w:val="003E6F55"/>
    <w:rsid w:val="004039C5"/>
    <w:rsid w:val="00406254"/>
    <w:rsid w:val="004128C9"/>
    <w:rsid w:val="00415B52"/>
    <w:rsid w:val="0041795C"/>
    <w:rsid w:val="004223DE"/>
    <w:rsid w:val="00432F19"/>
    <w:rsid w:val="00433EAD"/>
    <w:rsid w:val="00434489"/>
    <w:rsid w:val="00435BDC"/>
    <w:rsid w:val="00437085"/>
    <w:rsid w:val="004375E9"/>
    <w:rsid w:val="0044213D"/>
    <w:rsid w:val="00443880"/>
    <w:rsid w:val="004464F4"/>
    <w:rsid w:val="00447629"/>
    <w:rsid w:val="00451D74"/>
    <w:rsid w:val="004530BC"/>
    <w:rsid w:val="00462A4E"/>
    <w:rsid w:val="00462E6D"/>
    <w:rsid w:val="00464B15"/>
    <w:rsid w:val="00471401"/>
    <w:rsid w:val="00473F31"/>
    <w:rsid w:val="0047534F"/>
    <w:rsid w:val="004807A7"/>
    <w:rsid w:val="0048263A"/>
    <w:rsid w:val="00482DC6"/>
    <w:rsid w:val="00483456"/>
    <w:rsid w:val="00484825"/>
    <w:rsid w:val="00487E5D"/>
    <w:rsid w:val="004903BB"/>
    <w:rsid w:val="00494CE7"/>
    <w:rsid w:val="004A2E83"/>
    <w:rsid w:val="004A711F"/>
    <w:rsid w:val="004B1987"/>
    <w:rsid w:val="004B199D"/>
    <w:rsid w:val="004B2F6C"/>
    <w:rsid w:val="004B4690"/>
    <w:rsid w:val="004B7352"/>
    <w:rsid w:val="004C056E"/>
    <w:rsid w:val="004C20DE"/>
    <w:rsid w:val="004C331E"/>
    <w:rsid w:val="004C3FD9"/>
    <w:rsid w:val="004D5813"/>
    <w:rsid w:val="004E0A2D"/>
    <w:rsid w:val="004E206B"/>
    <w:rsid w:val="004E68B8"/>
    <w:rsid w:val="004E6DF7"/>
    <w:rsid w:val="004F0364"/>
    <w:rsid w:val="004F0FBD"/>
    <w:rsid w:val="004F64E9"/>
    <w:rsid w:val="004F68FD"/>
    <w:rsid w:val="00504224"/>
    <w:rsid w:val="00505A47"/>
    <w:rsid w:val="00505CB8"/>
    <w:rsid w:val="00506BB1"/>
    <w:rsid w:val="00510732"/>
    <w:rsid w:val="005117A7"/>
    <w:rsid w:val="00512FDA"/>
    <w:rsid w:val="00520DA0"/>
    <w:rsid w:val="005226E0"/>
    <w:rsid w:val="00524387"/>
    <w:rsid w:val="00524FFC"/>
    <w:rsid w:val="00531DF8"/>
    <w:rsid w:val="005350AB"/>
    <w:rsid w:val="00540B62"/>
    <w:rsid w:val="0054594B"/>
    <w:rsid w:val="0055081C"/>
    <w:rsid w:val="00551054"/>
    <w:rsid w:val="00551F36"/>
    <w:rsid w:val="005664BB"/>
    <w:rsid w:val="00566FFA"/>
    <w:rsid w:val="005677A3"/>
    <w:rsid w:val="00573988"/>
    <w:rsid w:val="00573E86"/>
    <w:rsid w:val="0057481D"/>
    <w:rsid w:val="00574FB6"/>
    <w:rsid w:val="00583B5D"/>
    <w:rsid w:val="005847F6"/>
    <w:rsid w:val="0058486E"/>
    <w:rsid w:val="00585B33"/>
    <w:rsid w:val="0059014D"/>
    <w:rsid w:val="005957D0"/>
    <w:rsid w:val="00597DEA"/>
    <w:rsid w:val="005A6D63"/>
    <w:rsid w:val="005B11D8"/>
    <w:rsid w:val="005B29F6"/>
    <w:rsid w:val="005B3549"/>
    <w:rsid w:val="005B4F22"/>
    <w:rsid w:val="005B53A4"/>
    <w:rsid w:val="005B5C64"/>
    <w:rsid w:val="005C2174"/>
    <w:rsid w:val="005C34B0"/>
    <w:rsid w:val="005C5337"/>
    <w:rsid w:val="005C6BB4"/>
    <w:rsid w:val="005C6BD0"/>
    <w:rsid w:val="005D1C8B"/>
    <w:rsid w:val="005D3843"/>
    <w:rsid w:val="005D468D"/>
    <w:rsid w:val="005D52FA"/>
    <w:rsid w:val="005D5CED"/>
    <w:rsid w:val="005E3093"/>
    <w:rsid w:val="005E32E9"/>
    <w:rsid w:val="005E3F19"/>
    <w:rsid w:val="005E730C"/>
    <w:rsid w:val="005E7EB9"/>
    <w:rsid w:val="005F0C87"/>
    <w:rsid w:val="005F0EE0"/>
    <w:rsid w:val="005F1A4C"/>
    <w:rsid w:val="005F3476"/>
    <w:rsid w:val="005F7335"/>
    <w:rsid w:val="006011C7"/>
    <w:rsid w:val="00603166"/>
    <w:rsid w:val="00605688"/>
    <w:rsid w:val="006068A3"/>
    <w:rsid w:val="006070AF"/>
    <w:rsid w:val="00607E6C"/>
    <w:rsid w:val="006101B1"/>
    <w:rsid w:val="00614E44"/>
    <w:rsid w:val="0062270A"/>
    <w:rsid w:val="00622830"/>
    <w:rsid w:val="00623649"/>
    <w:rsid w:val="00623DA0"/>
    <w:rsid w:val="00626E01"/>
    <w:rsid w:val="0062734A"/>
    <w:rsid w:val="00630AEF"/>
    <w:rsid w:val="006325F8"/>
    <w:rsid w:val="00633463"/>
    <w:rsid w:val="00634C9A"/>
    <w:rsid w:val="00641E68"/>
    <w:rsid w:val="0064203E"/>
    <w:rsid w:val="006440E4"/>
    <w:rsid w:val="0065475A"/>
    <w:rsid w:val="006557B8"/>
    <w:rsid w:val="0066343B"/>
    <w:rsid w:val="00664777"/>
    <w:rsid w:val="00670AB1"/>
    <w:rsid w:val="006719E4"/>
    <w:rsid w:val="0067436C"/>
    <w:rsid w:val="006748A4"/>
    <w:rsid w:val="006755B9"/>
    <w:rsid w:val="00675CC2"/>
    <w:rsid w:val="00681A31"/>
    <w:rsid w:val="00683E73"/>
    <w:rsid w:val="0068699A"/>
    <w:rsid w:val="00695346"/>
    <w:rsid w:val="00697C87"/>
    <w:rsid w:val="006A2645"/>
    <w:rsid w:val="006A3141"/>
    <w:rsid w:val="006A3DEC"/>
    <w:rsid w:val="006A5E34"/>
    <w:rsid w:val="006B1128"/>
    <w:rsid w:val="006B2422"/>
    <w:rsid w:val="006B2B9A"/>
    <w:rsid w:val="006B6354"/>
    <w:rsid w:val="006C1937"/>
    <w:rsid w:val="006C289B"/>
    <w:rsid w:val="006C410E"/>
    <w:rsid w:val="006D0463"/>
    <w:rsid w:val="006D73A3"/>
    <w:rsid w:val="006E74A1"/>
    <w:rsid w:val="006F020C"/>
    <w:rsid w:val="006F1A9A"/>
    <w:rsid w:val="006F35DD"/>
    <w:rsid w:val="006F38E4"/>
    <w:rsid w:val="006F629D"/>
    <w:rsid w:val="00700222"/>
    <w:rsid w:val="00711F95"/>
    <w:rsid w:val="007127B7"/>
    <w:rsid w:val="0071798E"/>
    <w:rsid w:val="00723472"/>
    <w:rsid w:val="007416B6"/>
    <w:rsid w:val="00745C74"/>
    <w:rsid w:val="00746F48"/>
    <w:rsid w:val="0075079B"/>
    <w:rsid w:val="0075404D"/>
    <w:rsid w:val="0076182A"/>
    <w:rsid w:val="00762675"/>
    <w:rsid w:val="00764320"/>
    <w:rsid w:val="0076705D"/>
    <w:rsid w:val="00767B7E"/>
    <w:rsid w:val="007770C3"/>
    <w:rsid w:val="00781D8A"/>
    <w:rsid w:val="00784D24"/>
    <w:rsid w:val="00785FBA"/>
    <w:rsid w:val="00786E4A"/>
    <w:rsid w:val="007875EB"/>
    <w:rsid w:val="00790586"/>
    <w:rsid w:val="0079243C"/>
    <w:rsid w:val="00792E03"/>
    <w:rsid w:val="0079426B"/>
    <w:rsid w:val="00797884"/>
    <w:rsid w:val="007A6268"/>
    <w:rsid w:val="007B1EB8"/>
    <w:rsid w:val="007B3A47"/>
    <w:rsid w:val="007B60D0"/>
    <w:rsid w:val="007C0091"/>
    <w:rsid w:val="007C0227"/>
    <w:rsid w:val="007C1124"/>
    <w:rsid w:val="007C1497"/>
    <w:rsid w:val="007D1682"/>
    <w:rsid w:val="007D312A"/>
    <w:rsid w:val="007D32E3"/>
    <w:rsid w:val="007D3F19"/>
    <w:rsid w:val="007D61AA"/>
    <w:rsid w:val="007E23B0"/>
    <w:rsid w:val="007E23E5"/>
    <w:rsid w:val="007E3818"/>
    <w:rsid w:val="007E54AD"/>
    <w:rsid w:val="007F0060"/>
    <w:rsid w:val="007F04B7"/>
    <w:rsid w:val="007F1991"/>
    <w:rsid w:val="007F2C2F"/>
    <w:rsid w:val="007F55FC"/>
    <w:rsid w:val="007F5665"/>
    <w:rsid w:val="007F5679"/>
    <w:rsid w:val="00800112"/>
    <w:rsid w:val="00802E1A"/>
    <w:rsid w:val="00804801"/>
    <w:rsid w:val="0080519C"/>
    <w:rsid w:val="00807297"/>
    <w:rsid w:val="00813348"/>
    <w:rsid w:val="00813C85"/>
    <w:rsid w:val="0082240D"/>
    <w:rsid w:val="008225F3"/>
    <w:rsid w:val="008253BB"/>
    <w:rsid w:val="00835F2B"/>
    <w:rsid w:val="008363CE"/>
    <w:rsid w:val="00836FCC"/>
    <w:rsid w:val="0083706E"/>
    <w:rsid w:val="008408F6"/>
    <w:rsid w:val="008423A5"/>
    <w:rsid w:val="00842568"/>
    <w:rsid w:val="00850625"/>
    <w:rsid w:val="00853718"/>
    <w:rsid w:val="00855221"/>
    <w:rsid w:val="00860645"/>
    <w:rsid w:val="00860FFF"/>
    <w:rsid w:val="0086190F"/>
    <w:rsid w:val="00864D4D"/>
    <w:rsid w:val="00864D83"/>
    <w:rsid w:val="00871F71"/>
    <w:rsid w:val="00872FD8"/>
    <w:rsid w:val="00883CF4"/>
    <w:rsid w:val="00885AF4"/>
    <w:rsid w:val="00891594"/>
    <w:rsid w:val="008939CD"/>
    <w:rsid w:val="00894653"/>
    <w:rsid w:val="008A3B1D"/>
    <w:rsid w:val="008A73A4"/>
    <w:rsid w:val="008B254F"/>
    <w:rsid w:val="008B72C8"/>
    <w:rsid w:val="008B768C"/>
    <w:rsid w:val="008C4DB1"/>
    <w:rsid w:val="008C4EAF"/>
    <w:rsid w:val="008C5176"/>
    <w:rsid w:val="008C7FD0"/>
    <w:rsid w:val="008D1939"/>
    <w:rsid w:val="008E153C"/>
    <w:rsid w:val="008E1DE7"/>
    <w:rsid w:val="008E498F"/>
    <w:rsid w:val="008E52D9"/>
    <w:rsid w:val="008E707C"/>
    <w:rsid w:val="008F69BD"/>
    <w:rsid w:val="00900B08"/>
    <w:rsid w:val="00902155"/>
    <w:rsid w:val="00902FA3"/>
    <w:rsid w:val="00906090"/>
    <w:rsid w:val="00916B09"/>
    <w:rsid w:val="00922181"/>
    <w:rsid w:val="00923564"/>
    <w:rsid w:val="0092392E"/>
    <w:rsid w:val="00931014"/>
    <w:rsid w:val="009315F9"/>
    <w:rsid w:val="009325E9"/>
    <w:rsid w:val="00933499"/>
    <w:rsid w:val="0093406B"/>
    <w:rsid w:val="00935C98"/>
    <w:rsid w:val="00936AB3"/>
    <w:rsid w:val="00941EAB"/>
    <w:rsid w:val="00946945"/>
    <w:rsid w:val="009510D1"/>
    <w:rsid w:val="00951248"/>
    <w:rsid w:val="0095152F"/>
    <w:rsid w:val="009530B2"/>
    <w:rsid w:val="00954C49"/>
    <w:rsid w:val="00955E37"/>
    <w:rsid w:val="00965A78"/>
    <w:rsid w:val="0097099F"/>
    <w:rsid w:val="00971997"/>
    <w:rsid w:val="00971FFC"/>
    <w:rsid w:val="0097792F"/>
    <w:rsid w:val="00984CEC"/>
    <w:rsid w:val="0098660A"/>
    <w:rsid w:val="0099259C"/>
    <w:rsid w:val="009931C3"/>
    <w:rsid w:val="009A1D1A"/>
    <w:rsid w:val="009A7CF7"/>
    <w:rsid w:val="009B2C43"/>
    <w:rsid w:val="009B4EAE"/>
    <w:rsid w:val="009B7573"/>
    <w:rsid w:val="009C22F4"/>
    <w:rsid w:val="009C2A4B"/>
    <w:rsid w:val="009C2E98"/>
    <w:rsid w:val="009C5683"/>
    <w:rsid w:val="009D23CB"/>
    <w:rsid w:val="009D3447"/>
    <w:rsid w:val="009D4711"/>
    <w:rsid w:val="009F1185"/>
    <w:rsid w:val="009F18CD"/>
    <w:rsid w:val="009F1C4B"/>
    <w:rsid w:val="009F2A13"/>
    <w:rsid w:val="009F3052"/>
    <w:rsid w:val="009F6E93"/>
    <w:rsid w:val="009F7527"/>
    <w:rsid w:val="00A00F49"/>
    <w:rsid w:val="00A04EB0"/>
    <w:rsid w:val="00A05416"/>
    <w:rsid w:val="00A060D4"/>
    <w:rsid w:val="00A13CC1"/>
    <w:rsid w:val="00A13DD7"/>
    <w:rsid w:val="00A16847"/>
    <w:rsid w:val="00A171D4"/>
    <w:rsid w:val="00A2216F"/>
    <w:rsid w:val="00A22410"/>
    <w:rsid w:val="00A22D49"/>
    <w:rsid w:val="00A23398"/>
    <w:rsid w:val="00A237D8"/>
    <w:rsid w:val="00A267E1"/>
    <w:rsid w:val="00A268C4"/>
    <w:rsid w:val="00A27F6D"/>
    <w:rsid w:val="00A307CD"/>
    <w:rsid w:val="00A31F33"/>
    <w:rsid w:val="00A331C8"/>
    <w:rsid w:val="00A34ACE"/>
    <w:rsid w:val="00A40A00"/>
    <w:rsid w:val="00A4142F"/>
    <w:rsid w:val="00A422EB"/>
    <w:rsid w:val="00A45BB7"/>
    <w:rsid w:val="00A479D8"/>
    <w:rsid w:val="00A52C5F"/>
    <w:rsid w:val="00A5434D"/>
    <w:rsid w:val="00A56C87"/>
    <w:rsid w:val="00A56DF2"/>
    <w:rsid w:val="00A56E6E"/>
    <w:rsid w:val="00A576A6"/>
    <w:rsid w:val="00A6466A"/>
    <w:rsid w:val="00A67AB5"/>
    <w:rsid w:val="00A733B2"/>
    <w:rsid w:val="00A73441"/>
    <w:rsid w:val="00A738E5"/>
    <w:rsid w:val="00A741C2"/>
    <w:rsid w:val="00A84839"/>
    <w:rsid w:val="00A90103"/>
    <w:rsid w:val="00A902C7"/>
    <w:rsid w:val="00A9046E"/>
    <w:rsid w:val="00A91760"/>
    <w:rsid w:val="00A924D6"/>
    <w:rsid w:val="00A93B00"/>
    <w:rsid w:val="00A93C21"/>
    <w:rsid w:val="00A94CE2"/>
    <w:rsid w:val="00AA28B0"/>
    <w:rsid w:val="00AB49CA"/>
    <w:rsid w:val="00AB64C9"/>
    <w:rsid w:val="00AC3861"/>
    <w:rsid w:val="00AC3C6A"/>
    <w:rsid w:val="00AD34D8"/>
    <w:rsid w:val="00AD4E67"/>
    <w:rsid w:val="00AD5620"/>
    <w:rsid w:val="00AD585B"/>
    <w:rsid w:val="00AD656B"/>
    <w:rsid w:val="00AD7C1B"/>
    <w:rsid w:val="00AE07D9"/>
    <w:rsid w:val="00AE16BA"/>
    <w:rsid w:val="00AE1EBE"/>
    <w:rsid w:val="00B00AB5"/>
    <w:rsid w:val="00B01460"/>
    <w:rsid w:val="00B0168C"/>
    <w:rsid w:val="00B03C9D"/>
    <w:rsid w:val="00B0444D"/>
    <w:rsid w:val="00B060AE"/>
    <w:rsid w:val="00B10517"/>
    <w:rsid w:val="00B13002"/>
    <w:rsid w:val="00B14E76"/>
    <w:rsid w:val="00B161B8"/>
    <w:rsid w:val="00B2048C"/>
    <w:rsid w:val="00B22223"/>
    <w:rsid w:val="00B2711C"/>
    <w:rsid w:val="00B30D89"/>
    <w:rsid w:val="00B310B9"/>
    <w:rsid w:val="00B35F3F"/>
    <w:rsid w:val="00B36CBB"/>
    <w:rsid w:val="00B4259F"/>
    <w:rsid w:val="00B425E0"/>
    <w:rsid w:val="00B440AA"/>
    <w:rsid w:val="00B44B70"/>
    <w:rsid w:val="00B53C56"/>
    <w:rsid w:val="00B57C2F"/>
    <w:rsid w:val="00B57DAF"/>
    <w:rsid w:val="00B64466"/>
    <w:rsid w:val="00B662D2"/>
    <w:rsid w:val="00B730E2"/>
    <w:rsid w:val="00B75041"/>
    <w:rsid w:val="00B77EA6"/>
    <w:rsid w:val="00B81598"/>
    <w:rsid w:val="00B841F1"/>
    <w:rsid w:val="00B917FB"/>
    <w:rsid w:val="00B944D6"/>
    <w:rsid w:val="00B95476"/>
    <w:rsid w:val="00BA5A25"/>
    <w:rsid w:val="00BB4ADE"/>
    <w:rsid w:val="00BB4DF0"/>
    <w:rsid w:val="00BC289F"/>
    <w:rsid w:val="00BC2D50"/>
    <w:rsid w:val="00BC5361"/>
    <w:rsid w:val="00BC5460"/>
    <w:rsid w:val="00BC553A"/>
    <w:rsid w:val="00BC6B50"/>
    <w:rsid w:val="00BC71A1"/>
    <w:rsid w:val="00BC7B25"/>
    <w:rsid w:val="00BD0E25"/>
    <w:rsid w:val="00BE369E"/>
    <w:rsid w:val="00BF2905"/>
    <w:rsid w:val="00BF3619"/>
    <w:rsid w:val="00BF3F78"/>
    <w:rsid w:val="00BF5BD6"/>
    <w:rsid w:val="00BF7D24"/>
    <w:rsid w:val="00C03E31"/>
    <w:rsid w:val="00C040E6"/>
    <w:rsid w:val="00C057D9"/>
    <w:rsid w:val="00C0745B"/>
    <w:rsid w:val="00C1237B"/>
    <w:rsid w:val="00C126C5"/>
    <w:rsid w:val="00C1280C"/>
    <w:rsid w:val="00C1368C"/>
    <w:rsid w:val="00C15E53"/>
    <w:rsid w:val="00C169D7"/>
    <w:rsid w:val="00C24EA5"/>
    <w:rsid w:val="00C27C95"/>
    <w:rsid w:val="00C27E91"/>
    <w:rsid w:val="00C33753"/>
    <w:rsid w:val="00C33C60"/>
    <w:rsid w:val="00C33E72"/>
    <w:rsid w:val="00C354B2"/>
    <w:rsid w:val="00C35554"/>
    <w:rsid w:val="00C374E1"/>
    <w:rsid w:val="00C42709"/>
    <w:rsid w:val="00C429A2"/>
    <w:rsid w:val="00C437B6"/>
    <w:rsid w:val="00C44040"/>
    <w:rsid w:val="00C47DD5"/>
    <w:rsid w:val="00C533CC"/>
    <w:rsid w:val="00C55E93"/>
    <w:rsid w:val="00C5607C"/>
    <w:rsid w:val="00C5751C"/>
    <w:rsid w:val="00C61BFC"/>
    <w:rsid w:val="00C62B85"/>
    <w:rsid w:val="00C65438"/>
    <w:rsid w:val="00C66199"/>
    <w:rsid w:val="00C67428"/>
    <w:rsid w:val="00C7111A"/>
    <w:rsid w:val="00C729B8"/>
    <w:rsid w:val="00C7617B"/>
    <w:rsid w:val="00C85E8B"/>
    <w:rsid w:val="00C87FD8"/>
    <w:rsid w:val="00C91381"/>
    <w:rsid w:val="00C91CBB"/>
    <w:rsid w:val="00C97922"/>
    <w:rsid w:val="00CA1774"/>
    <w:rsid w:val="00CB0615"/>
    <w:rsid w:val="00CB1C39"/>
    <w:rsid w:val="00CB2C64"/>
    <w:rsid w:val="00CB4E70"/>
    <w:rsid w:val="00CB52A3"/>
    <w:rsid w:val="00CB52C8"/>
    <w:rsid w:val="00CC00C1"/>
    <w:rsid w:val="00CC09B6"/>
    <w:rsid w:val="00CC2FFA"/>
    <w:rsid w:val="00CC3C59"/>
    <w:rsid w:val="00CC666F"/>
    <w:rsid w:val="00CD1E3F"/>
    <w:rsid w:val="00CD3269"/>
    <w:rsid w:val="00CD52DD"/>
    <w:rsid w:val="00CE44F6"/>
    <w:rsid w:val="00CE49DA"/>
    <w:rsid w:val="00CE65E2"/>
    <w:rsid w:val="00CE7AA9"/>
    <w:rsid w:val="00CE7B61"/>
    <w:rsid w:val="00CF0805"/>
    <w:rsid w:val="00CF5EF5"/>
    <w:rsid w:val="00D00095"/>
    <w:rsid w:val="00D00110"/>
    <w:rsid w:val="00D02037"/>
    <w:rsid w:val="00D061E3"/>
    <w:rsid w:val="00D06385"/>
    <w:rsid w:val="00D114F0"/>
    <w:rsid w:val="00D20620"/>
    <w:rsid w:val="00D254F7"/>
    <w:rsid w:val="00D25B5F"/>
    <w:rsid w:val="00D26091"/>
    <w:rsid w:val="00D265D0"/>
    <w:rsid w:val="00D2685C"/>
    <w:rsid w:val="00D27127"/>
    <w:rsid w:val="00D31B32"/>
    <w:rsid w:val="00D34E7C"/>
    <w:rsid w:val="00D35489"/>
    <w:rsid w:val="00D36AFE"/>
    <w:rsid w:val="00D4122B"/>
    <w:rsid w:val="00D41B40"/>
    <w:rsid w:val="00D51276"/>
    <w:rsid w:val="00D54F45"/>
    <w:rsid w:val="00D5664A"/>
    <w:rsid w:val="00D56980"/>
    <w:rsid w:val="00D642AD"/>
    <w:rsid w:val="00D7035F"/>
    <w:rsid w:val="00D751DA"/>
    <w:rsid w:val="00D81F88"/>
    <w:rsid w:val="00D85F38"/>
    <w:rsid w:val="00D8754B"/>
    <w:rsid w:val="00D9072B"/>
    <w:rsid w:val="00D91BCE"/>
    <w:rsid w:val="00D92E25"/>
    <w:rsid w:val="00D93203"/>
    <w:rsid w:val="00DA12C4"/>
    <w:rsid w:val="00DA458D"/>
    <w:rsid w:val="00DA634F"/>
    <w:rsid w:val="00DA65AC"/>
    <w:rsid w:val="00DA778F"/>
    <w:rsid w:val="00DB1913"/>
    <w:rsid w:val="00DB4318"/>
    <w:rsid w:val="00DC04DF"/>
    <w:rsid w:val="00DC15A2"/>
    <w:rsid w:val="00DC35D9"/>
    <w:rsid w:val="00DC410D"/>
    <w:rsid w:val="00DC5A81"/>
    <w:rsid w:val="00DC5B04"/>
    <w:rsid w:val="00DC5E2C"/>
    <w:rsid w:val="00DC68CA"/>
    <w:rsid w:val="00DC7CBA"/>
    <w:rsid w:val="00DD0B19"/>
    <w:rsid w:val="00DD2D6F"/>
    <w:rsid w:val="00DD5279"/>
    <w:rsid w:val="00DD73B7"/>
    <w:rsid w:val="00DE181F"/>
    <w:rsid w:val="00DF236F"/>
    <w:rsid w:val="00DF28BC"/>
    <w:rsid w:val="00DF34B9"/>
    <w:rsid w:val="00E01053"/>
    <w:rsid w:val="00E05EDE"/>
    <w:rsid w:val="00E06254"/>
    <w:rsid w:val="00E07ACF"/>
    <w:rsid w:val="00E10AE6"/>
    <w:rsid w:val="00E225ED"/>
    <w:rsid w:val="00E30A2F"/>
    <w:rsid w:val="00E331A1"/>
    <w:rsid w:val="00E33202"/>
    <w:rsid w:val="00E336A9"/>
    <w:rsid w:val="00E461A5"/>
    <w:rsid w:val="00E472B1"/>
    <w:rsid w:val="00E50624"/>
    <w:rsid w:val="00E53CFE"/>
    <w:rsid w:val="00E55714"/>
    <w:rsid w:val="00E55FD9"/>
    <w:rsid w:val="00E568DF"/>
    <w:rsid w:val="00E57438"/>
    <w:rsid w:val="00E621D8"/>
    <w:rsid w:val="00E6412F"/>
    <w:rsid w:val="00E64269"/>
    <w:rsid w:val="00E64D0A"/>
    <w:rsid w:val="00E72D04"/>
    <w:rsid w:val="00E75A93"/>
    <w:rsid w:val="00E76214"/>
    <w:rsid w:val="00E82267"/>
    <w:rsid w:val="00E82575"/>
    <w:rsid w:val="00E853CE"/>
    <w:rsid w:val="00E867B6"/>
    <w:rsid w:val="00E93783"/>
    <w:rsid w:val="00EA010F"/>
    <w:rsid w:val="00EA0613"/>
    <w:rsid w:val="00EA06B0"/>
    <w:rsid w:val="00EA10BE"/>
    <w:rsid w:val="00EA180E"/>
    <w:rsid w:val="00EA3086"/>
    <w:rsid w:val="00EA6ECE"/>
    <w:rsid w:val="00EB12D6"/>
    <w:rsid w:val="00EB1C08"/>
    <w:rsid w:val="00EB3004"/>
    <w:rsid w:val="00EB70AC"/>
    <w:rsid w:val="00EC146E"/>
    <w:rsid w:val="00EC2C80"/>
    <w:rsid w:val="00ED1B63"/>
    <w:rsid w:val="00ED2BF6"/>
    <w:rsid w:val="00ED3C1F"/>
    <w:rsid w:val="00ED4085"/>
    <w:rsid w:val="00ED420E"/>
    <w:rsid w:val="00ED46DE"/>
    <w:rsid w:val="00ED6FBE"/>
    <w:rsid w:val="00EE2F57"/>
    <w:rsid w:val="00EE4450"/>
    <w:rsid w:val="00EE7305"/>
    <w:rsid w:val="00EF4C34"/>
    <w:rsid w:val="00EF77C6"/>
    <w:rsid w:val="00EF7B2E"/>
    <w:rsid w:val="00EF7B80"/>
    <w:rsid w:val="00F02561"/>
    <w:rsid w:val="00F05438"/>
    <w:rsid w:val="00F0628C"/>
    <w:rsid w:val="00F06C06"/>
    <w:rsid w:val="00F07941"/>
    <w:rsid w:val="00F07976"/>
    <w:rsid w:val="00F1361C"/>
    <w:rsid w:val="00F14112"/>
    <w:rsid w:val="00F156F0"/>
    <w:rsid w:val="00F160BB"/>
    <w:rsid w:val="00F160C7"/>
    <w:rsid w:val="00F216EE"/>
    <w:rsid w:val="00F22E9D"/>
    <w:rsid w:val="00F2408F"/>
    <w:rsid w:val="00F240E9"/>
    <w:rsid w:val="00F33FEF"/>
    <w:rsid w:val="00F36D8F"/>
    <w:rsid w:val="00F417B1"/>
    <w:rsid w:val="00F41C3F"/>
    <w:rsid w:val="00F43EED"/>
    <w:rsid w:val="00F45853"/>
    <w:rsid w:val="00F465F6"/>
    <w:rsid w:val="00F5248D"/>
    <w:rsid w:val="00F56870"/>
    <w:rsid w:val="00F57120"/>
    <w:rsid w:val="00F57475"/>
    <w:rsid w:val="00F5792F"/>
    <w:rsid w:val="00F602DF"/>
    <w:rsid w:val="00F615F2"/>
    <w:rsid w:val="00F6222A"/>
    <w:rsid w:val="00F6269E"/>
    <w:rsid w:val="00F71AB8"/>
    <w:rsid w:val="00F73010"/>
    <w:rsid w:val="00F754A1"/>
    <w:rsid w:val="00F75E35"/>
    <w:rsid w:val="00F773E2"/>
    <w:rsid w:val="00F81FD9"/>
    <w:rsid w:val="00F821ED"/>
    <w:rsid w:val="00F83F37"/>
    <w:rsid w:val="00F841AA"/>
    <w:rsid w:val="00F84A94"/>
    <w:rsid w:val="00F87E96"/>
    <w:rsid w:val="00FA031D"/>
    <w:rsid w:val="00FA05A7"/>
    <w:rsid w:val="00FA0E52"/>
    <w:rsid w:val="00FA23E8"/>
    <w:rsid w:val="00FA46E4"/>
    <w:rsid w:val="00FA4FCE"/>
    <w:rsid w:val="00FA761A"/>
    <w:rsid w:val="00FA762C"/>
    <w:rsid w:val="00FB0B38"/>
    <w:rsid w:val="00FB1142"/>
    <w:rsid w:val="00FB1F8C"/>
    <w:rsid w:val="00FC7D3E"/>
    <w:rsid w:val="00FD3CC1"/>
    <w:rsid w:val="00FD648A"/>
    <w:rsid w:val="00FF1E02"/>
    <w:rsid w:val="00FF30B4"/>
    <w:rsid w:val="00FF4471"/>
    <w:rsid w:val="015975B8"/>
    <w:rsid w:val="01A4241D"/>
    <w:rsid w:val="020A325A"/>
    <w:rsid w:val="02143E91"/>
    <w:rsid w:val="02307E77"/>
    <w:rsid w:val="0249121B"/>
    <w:rsid w:val="04371940"/>
    <w:rsid w:val="04755D79"/>
    <w:rsid w:val="053E3573"/>
    <w:rsid w:val="060C1D8B"/>
    <w:rsid w:val="066E0107"/>
    <w:rsid w:val="06807246"/>
    <w:rsid w:val="068A58C9"/>
    <w:rsid w:val="07996F6E"/>
    <w:rsid w:val="080B3750"/>
    <w:rsid w:val="09CF4101"/>
    <w:rsid w:val="0A2032A3"/>
    <w:rsid w:val="0A37562B"/>
    <w:rsid w:val="0C5E71D8"/>
    <w:rsid w:val="0D5136AA"/>
    <w:rsid w:val="0E256D7C"/>
    <w:rsid w:val="0E830BA4"/>
    <w:rsid w:val="0F98263C"/>
    <w:rsid w:val="0FBF7629"/>
    <w:rsid w:val="101860EC"/>
    <w:rsid w:val="10C055FF"/>
    <w:rsid w:val="10F73D15"/>
    <w:rsid w:val="1108432D"/>
    <w:rsid w:val="111A1E00"/>
    <w:rsid w:val="118107EC"/>
    <w:rsid w:val="11CB7CD9"/>
    <w:rsid w:val="12A84BE3"/>
    <w:rsid w:val="13D50BC4"/>
    <w:rsid w:val="13DD7DCD"/>
    <w:rsid w:val="143F5501"/>
    <w:rsid w:val="14484659"/>
    <w:rsid w:val="144D346F"/>
    <w:rsid w:val="16466828"/>
    <w:rsid w:val="16BB723D"/>
    <w:rsid w:val="16CB6213"/>
    <w:rsid w:val="16E83866"/>
    <w:rsid w:val="173561F1"/>
    <w:rsid w:val="177F2E6B"/>
    <w:rsid w:val="17B34857"/>
    <w:rsid w:val="18AF4E5E"/>
    <w:rsid w:val="198D229F"/>
    <w:rsid w:val="19AD067B"/>
    <w:rsid w:val="1A1C7F14"/>
    <w:rsid w:val="1AED74C4"/>
    <w:rsid w:val="1BE8440E"/>
    <w:rsid w:val="1C677F89"/>
    <w:rsid w:val="1D155CEE"/>
    <w:rsid w:val="1E676A09"/>
    <w:rsid w:val="1EDB2F26"/>
    <w:rsid w:val="1FF35744"/>
    <w:rsid w:val="20B21939"/>
    <w:rsid w:val="20C46428"/>
    <w:rsid w:val="22966EA2"/>
    <w:rsid w:val="23860B96"/>
    <w:rsid w:val="240371BF"/>
    <w:rsid w:val="24E040A3"/>
    <w:rsid w:val="26505E65"/>
    <w:rsid w:val="2657149A"/>
    <w:rsid w:val="26EF16AC"/>
    <w:rsid w:val="2730180E"/>
    <w:rsid w:val="27B93CD9"/>
    <w:rsid w:val="280116EB"/>
    <w:rsid w:val="28B9054C"/>
    <w:rsid w:val="28EC090D"/>
    <w:rsid w:val="29926DBE"/>
    <w:rsid w:val="29FD04D3"/>
    <w:rsid w:val="2A280A88"/>
    <w:rsid w:val="2B381613"/>
    <w:rsid w:val="2B411680"/>
    <w:rsid w:val="2BBF7F36"/>
    <w:rsid w:val="2C355557"/>
    <w:rsid w:val="2C450222"/>
    <w:rsid w:val="2C8A61B5"/>
    <w:rsid w:val="2CC672AA"/>
    <w:rsid w:val="2D2C7C44"/>
    <w:rsid w:val="2D7408A5"/>
    <w:rsid w:val="2DF04E50"/>
    <w:rsid w:val="2E46064E"/>
    <w:rsid w:val="2ECF3550"/>
    <w:rsid w:val="2F040D46"/>
    <w:rsid w:val="2F6C7377"/>
    <w:rsid w:val="306F7BF5"/>
    <w:rsid w:val="30A20C43"/>
    <w:rsid w:val="31425257"/>
    <w:rsid w:val="317F2558"/>
    <w:rsid w:val="319F7F4E"/>
    <w:rsid w:val="325269F7"/>
    <w:rsid w:val="3304709D"/>
    <w:rsid w:val="331055AE"/>
    <w:rsid w:val="332F5227"/>
    <w:rsid w:val="33F73268"/>
    <w:rsid w:val="34256B89"/>
    <w:rsid w:val="34482AE1"/>
    <w:rsid w:val="346329F7"/>
    <w:rsid w:val="34D2704B"/>
    <w:rsid w:val="35A75B13"/>
    <w:rsid w:val="361E14E7"/>
    <w:rsid w:val="36A264B9"/>
    <w:rsid w:val="36A608C5"/>
    <w:rsid w:val="36AA5135"/>
    <w:rsid w:val="376D39B2"/>
    <w:rsid w:val="379D40F7"/>
    <w:rsid w:val="37E16F03"/>
    <w:rsid w:val="38D469F0"/>
    <w:rsid w:val="38F8542D"/>
    <w:rsid w:val="391F19EF"/>
    <w:rsid w:val="39746EA8"/>
    <w:rsid w:val="399E5BE5"/>
    <w:rsid w:val="3A4C58DE"/>
    <w:rsid w:val="3B3A3311"/>
    <w:rsid w:val="3B7B475B"/>
    <w:rsid w:val="3BD025A0"/>
    <w:rsid w:val="3C397E70"/>
    <w:rsid w:val="3CCC4B94"/>
    <w:rsid w:val="3D98207C"/>
    <w:rsid w:val="3DAE3D10"/>
    <w:rsid w:val="3E001C26"/>
    <w:rsid w:val="3E78745D"/>
    <w:rsid w:val="3F8C1481"/>
    <w:rsid w:val="3FF50329"/>
    <w:rsid w:val="40243815"/>
    <w:rsid w:val="40C06698"/>
    <w:rsid w:val="41BE316A"/>
    <w:rsid w:val="42C638F8"/>
    <w:rsid w:val="430A783A"/>
    <w:rsid w:val="43100AE6"/>
    <w:rsid w:val="434D7B5E"/>
    <w:rsid w:val="44166D03"/>
    <w:rsid w:val="443A3C19"/>
    <w:rsid w:val="44AC3A74"/>
    <w:rsid w:val="44E268DA"/>
    <w:rsid w:val="45307D64"/>
    <w:rsid w:val="466602C6"/>
    <w:rsid w:val="47A41F12"/>
    <w:rsid w:val="485F3145"/>
    <w:rsid w:val="486068E0"/>
    <w:rsid w:val="490257EA"/>
    <w:rsid w:val="4A015F3B"/>
    <w:rsid w:val="4A2B732C"/>
    <w:rsid w:val="4A627F82"/>
    <w:rsid w:val="4B0E749A"/>
    <w:rsid w:val="4B4F25DA"/>
    <w:rsid w:val="4B5663F4"/>
    <w:rsid w:val="4BE068DB"/>
    <w:rsid w:val="4C0B7260"/>
    <w:rsid w:val="4C710402"/>
    <w:rsid w:val="4D49279A"/>
    <w:rsid w:val="4D577224"/>
    <w:rsid w:val="4DE97312"/>
    <w:rsid w:val="4E1C0269"/>
    <w:rsid w:val="4E7C3A4B"/>
    <w:rsid w:val="4EAB630A"/>
    <w:rsid w:val="4ECE2238"/>
    <w:rsid w:val="4FDE05E6"/>
    <w:rsid w:val="500E1F75"/>
    <w:rsid w:val="507B4E7D"/>
    <w:rsid w:val="50914699"/>
    <w:rsid w:val="513E09EC"/>
    <w:rsid w:val="520B2F91"/>
    <w:rsid w:val="53260F71"/>
    <w:rsid w:val="537E6D0A"/>
    <w:rsid w:val="53B72FEB"/>
    <w:rsid w:val="53D004F0"/>
    <w:rsid w:val="54155061"/>
    <w:rsid w:val="569440F0"/>
    <w:rsid w:val="58077198"/>
    <w:rsid w:val="58351D9F"/>
    <w:rsid w:val="58CA3BBA"/>
    <w:rsid w:val="58EF55A0"/>
    <w:rsid w:val="59DB1862"/>
    <w:rsid w:val="5A977DA1"/>
    <w:rsid w:val="5AB97E1E"/>
    <w:rsid w:val="5AEE5845"/>
    <w:rsid w:val="5AF92295"/>
    <w:rsid w:val="5B21103D"/>
    <w:rsid w:val="5B48614B"/>
    <w:rsid w:val="5CD71FC4"/>
    <w:rsid w:val="5F1228E3"/>
    <w:rsid w:val="6064493A"/>
    <w:rsid w:val="615D229A"/>
    <w:rsid w:val="61B11509"/>
    <w:rsid w:val="61F161A8"/>
    <w:rsid w:val="62B9115E"/>
    <w:rsid w:val="643F4734"/>
    <w:rsid w:val="655C7C76"/>
    <w:rsid w:val="666F04E0"/>
    <w:rsid w:val="680B3767"/>
    <w:rsid w:val="6AA04EF4"/>
    <w:rsid w:val="6B103896"/>
    <w:rsid w:val="6BC2054C"/>
    <w:rsid w:val="6C251982"/>
    <w:rsid w:val="6C4A05C8"/>
    <w:rsid w:val="6CE049F0"/>
    <w:rsid w:val="6D872450"/>
    <w:rsid w:val="6E147FBE"/>
    <w:rsid w:val="6E7E3605"/>
    <w:rsid w:val="6E833269"/>
    <w:rsid w:val="6EBE5C5D"/>
    <w:rsid w:val="6EE51949"/>
    <w:rsid w:val="6EF43A06"/>
    <w:rsid w:val="6F035BA7"/>
    <w:rsid w:val="6F1C14E2"/>
    <w:rsid w:val="6FF5CC65"/>
    <w:rsid w:val="700E67A5"/>
    <w:rsid w:val="715C0E4B"/>
    <w:rsid w:val="722411F5"/>
    <w:rsid w:val="72734D90"/>
    <w:rsid w:val="72751A41"/>
    <w:rsid w:val="73AD73D5"/>
    <w:rsid w:val="73B6EB34"/>
    <w:rsid w:val="73C1127C"/>
    <w:rsid w:val="742314C7"/>
    <w:rsid w:val="74273255"/>
    <w:rsid w:val="744731E5"/>
    <w:rsid w:val="753F35D3"/>
    <w:rsid w:val="76E3355F"/>
    <w:rsid w:val="77632A18"/>
    <w:rsid w:val="778769C8"/>
    <w:rsid w:val="781F48BB"/>
    <w:rsid w:val="78936A29"/>
    <w:rsid w:val="789E117A"/>
    <w:rsid w:val="790D439F"/>
    <w:rsid w:val="79444185"/>
    <w:rsid w:val="79604AEE"/>
    <w:rsid w:val="79EE5BA4"/>
    <w:rsid w:val="7A45041C"/>
    <w:rsid w:val="7A894339"/>
    <w:rsid w:val="7BEF1CCA"/>
    <w:rsid w:val="7C1A2927"/>
    <w:rsid w:val="7C1F0DBF"/>
    <w:rsid w:val="7C4C262A"/>
    <w:rsid w:val="7D403CB9"/>
    <w:rsid w:val="7D895243"/>
    <w:rsid w:val="7DB25AC6"/>
    <w:rsid w:val="7DD3152F"/>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cs="宋体"/>
    </w:rPr>
  </w:style>
  <w:style w:type="paragraph" w:styleId="9">
    <w:name w:val="Balloon Text"/>
    <w:basedOn w:val="1"/>
    <w:link w:val="33"/>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正文2"/>
    <w:basedOn w:val="8"/>
    <w:next w:val="1"/>
    <w:qFormat/>
    <w:uiPriority w:val="99"/>
    <w:pPr>
      <w:autoSpaceDE w:val="0"/>
      <w:autoSpaceDN w:val="0"/>
    </w:pPr>
    <w:rPr>
      <w:rFonts w:ascii="仿宋_GB2312" w:hAnsi="仿宋_GB2312" w:eastAsia="仿宋_GB2312" w:cs="仿宋_GB2312"/>
      <w:sz w:val="22"/>
      <w:szCs w:val="22"/>
      <w:lang w:val="zh-CN" w:bidi="zh-CN"/>
    </w:rPr>
  </w:style>
  <w:style w:type="paragraph" w:customStyle="1" w:styleId="20">
    <w:name w:val="正文1"/>
    <w:next w:val="19"/>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Char"/>
    <w:link w:val="11"/>
    <w:semiHidden/>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6"/>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9">
    <w:name w:val="列出段落1"/>
    <w:basedOn w:val="1"/>
    <w:qFormat/>
    <w:uiPriority w:val="34"/>
    <w:pPr>
      <w:ind w:firstLine="420" w:firstLineChars="200"/>
    </w:pPr>
  </w:style>
  <w:style w:type="character" w:customStyle="1" w:styleId="30">
    <w:name w:val="标题 1 Char"/>
    <w:basedOn w:val="16"/>
    <w:link w:val="3"/>
    <w:qFormat/>
    <w:uiPriority w:val="9"/>
    <w:rPr>
      <w:rFonts w:ascii="Times New Roman" w:hAnsi="Times New Roman"/>
      <w:b/>
      <w:bCs/>
      <w:kern w:val="44"/>
      <w:sz w:val="44"/>
      <w:szCs w:val="44"/>
    </w:rPr>
  </w:style>
  <w:style w:type="character" w:customStyle="1" w:styleId="31">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6"/>
    <w:link w:val="9"/>
    <w:semiHidden/>
    <w:qFormat/>
    <w:uiPriority w:val="99"/>
    <w:rPr>
      <w:rFonts w:ascii="Times New Roman" w:hAnsi="Times New Roman"/>
      <w:kern w:val="2"/>
      <w:sz w:val="18"/>
      <w:szCs w:val="18"/>
    </w:rPr>
  </w:style>
  <w:style w:type="character" w:customStyle="1" w:styleId="34">
    <w:name w:val="标题 3 Char"/>
    <w:basedOn w:val="16"/>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2022&#24180;&#24230;&#38632;&#22478;&#21306;&#37096;&#38376;&#20915;&#31639;&#20844;&#24320;&#65288;&#37096;&#38376;&#29256;&#65289;2023.09.01&#34892;&#36130;&#32929;\&#20915;&#31639;&#20844;&#24320;&#29992;&#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022&#24180;&#24230;&#38632;&#22478;&#21306;&#37096;&#38376;&#20915;&#31639;&#20844;&#24320;&#65288;&#37096;&#38376;&#29256;&#65289;2023.09.01&#34892;&#36130;&#32929;\&#20915;&#31639;&#20844;&#24320;&#29992;&#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2022&#24180;&#24230;&#38632;&#22478;&#21306;&#37096;&#38376;&#20915;&#31639;&#20844;&#24320;&#65288;&#37096;&#38376;&#29256;&#65289;2023.09.01&#34892;&#36130;&#32929;\&#20915;&#31639;&#20844;&#24320;&#29992;&#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2022&#24180;&#24230;&#38632;&#22478;&#21306;&#37096;&#38376;&#20915;&#31639;&#20844;&#24320;&#65288;&#37096;&#38376;&#29256;&#65289;2023.09.01&#34892;&#36130;&#32929;\&#20915;&#31639;&#20844;&#24320;&#29992;&#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2022&#24180;&#24230;&#38632;&#22478;&#21306;&#37096;&#38376;&#20915;&#31639;&#20844;&#24320;&#65288;&#37096;&#38376;&#29256;&#65289;2023.09.01&#34892;&#36130;&#32929;\&#20915;&#31639;&#20844;&#24320;&#29992;&#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2022&#24180;&#24230;&#38632;&#22478;&#21306;&#37096;&#38376;&#20915;&#31639;&#20844;&#24320;&#65288;&#37096;&#38376;&#29256;&#65289;2023.09.01&#34892;&#36130;&#32929;\&#20915;&#31639;&#20844;&#24320;&#29992;&#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2022&#24180;&#24230;&#38632;&#22478;&#21306;&#37096;&#38376;&#20915;&#31639;&#20844;&#24320;&#65288;&#37096;&#38376;&#29256;&#65289;2023.09.01&#34892;&#36130;&#32929;\&#20915;&#31639;&#20844;&#24320;&#29992;&#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1</a:t>
            </a:r>
            <a:r>
              <a:rPr lang="zh-CN" altLang="en-US"/>
              <a:t>：收、支决算总计变动情况图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[决算公开用表.xlsx]Sheet1!$A$2:$B$2</c:f>
              <c:strCache>
                <c:ptCount val="2"/>
                <c:pt idx="0">
                  <c:v>2022年</c:v>
                </c:pt>
                <c:pt idx="1">
                  <c:v>2021年</c:v>
                </c:pt>
              </c:strCache>
            </c:strRef>
          </c:cat>
          <c:val>
            <c:numRef>
              <c:f>[决算公开用表.xlsx]Sheet1!$A$3:$B$3</c:f>
              <c:numCache>
                <c:formatCode>General</c:formatCode>
                <c:ptCount val="2"/>
                <c:pt idx="0">
                  <c:v>2082.61</c:v>
                </c:pt>
                <c:pt idx="1">
                  <c:v>1624.6</c:v>
                </c:pt>
              </c:numCache>
            </c:numRef>
          </c:val>
        </c:ser>
        <c:dLbls>
          <c:showLegendKey val="0"/>
          <c:showVal val="1"/>
          <c:showCatName val="0"/>
          <c:showSerName val="0"/>
          <c:showPercent val="0"/>
          <c:showBubbleSize val="0"/>
        </c:dLbls>
        <c:gapWidth val="219"/>
        <c:overlap val="-27"/>
        <c:axId val="135270912"/>
        <c:axId val="136033920"/>
      </c:barChart>
      <c:catAx>
        <c:axId val="13527091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033920"/>
        <c:crosses val="autoZero"/>
        <c:auto val="1"/>
        <c:lblAlgn val="ctr"/>
        <c:lblOffset val="100"/>
        <c:noMultiLvlLbl val="0"/>
      </c:catAx>
      <c:valAx>
        <c:axId val="1360339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5270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2</a:t>
            </a:r>
            <a:r>
              <a:rPr lang="zh-CN" altLang="en-US"/>
              <a:t>：收入决算结构图</a:t>
            </a:r>
            <a:endParaRPr lang="zh-CN" altLang="en-US"/>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[决算公开用表.xlsx]Sheet1!$A$19</c:f>
              <c:strCache>
                <c:ptCount val="1"/>
                <c:pt idx="0">
                  <c:v>一般公共预算财政拨款收入</c:v>
                </c:pt>
              </c:strCache>
            </c:strRef>
          </c:cat>
          <c:val>
            <c:numRef>
              <c:f>[决算公开用表.xlsx]Sheet1!$A$20</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26781623055589"/>
          <c:y val="0.890697674418605"/>
          <c:w val="0.342336910647534"/>
          <c:h val="0.06537467700258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3</a:t>
            </a:r>
            <a:r>
              <a:rPr lang="zh-CN" altLang="en-US"/>
              <a:t>：支出决算结构图</a:t>
            </a:r>
            <a:endParaRPr lang="zh-CN" altLang="en-US"/>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[决算公开用表.xlsx]Sheet1!$A$24:$A$25</c:f>
              <c:strCache>
                <c:ptCount val="2"/>
                <c:pt idx="0">
                  <c:v>基本支出</c:v>
                </c:pt>
                <c:pt idx="1">
                  <c:v>项目支出</c:v>
                </c:pt>
              </c:strCache>
            </c:strRef>
          </c:cat>
          <c:val>
            <c:numRef>
              <c:f>[决算公开用表.xlsx]Sheet1!$B$24:$B$25</c:f>
              <c:numCache>
                <c:formatCode>0.00%</c:formatCode>
                <c:ptCount val="2"/>
                <c:pt idx="0">
                  <c:v>0.8811</c:v>
                </c:pt>
                <c:pt idx="1">
                  <c:v>0.1189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4</a:t>
            </a:r>
            <a:r>
              <a:rPr lang="zh-CN" altLang="en-US"/>
              <a:t>：财政拨款收、支决算总计变动情况</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[决算公开用表.xlsx]Sheet1!$A$37:$B$37</c:f>
              <c:strCache>
                <c:ptCount val="2"/>
                <c:pt idx="0">
                  <c:v>2022年</c:v>
                </c:pt>
                <c:pt idx="1">
                  <c:v>2021年</c:v>
                </c:pt>
              </c:strCache>
            </c:strRef>
          </c:cat>
          <c:val>
            <c:numRef>
              <c:f>[决算公开用表.xlsx]Sheet1!$A$38:$B$38</c:f>
              <c:numCache>
                <c:formatCode>General</c:formatCode>
                <c:ptCount val="2"/>
                <c:pt idx="0">
                  <c:v>2082.61</c:v>
                </c:pt>
                <c:pt idx="1">
                  <c:v>1624.6</c:v>
                </c:pt>
              </c:numCache>
            </c:numRef>
          </c:val>
        </c:ser>
        <c:dLbls>
          <c:showLegendKey val="0"/>
          <c:showVal val="1"/>
          <c:showCatName val="0"/>
          <c:showSerName val="0"/>
          <c:showPercent val="0"/>
          <c:showBubbleSize val="0"/>
        </c:dLbls>
        <c:gapWidth val="219"/>
        <c:overlap val="-27"/>
        <c:axId val="135273984"/>
        <c:axId val="136031040"/>
      </c:barChart>
      <c:catAx>
        <c:axId val="13527398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031040"/>
        <c:crosses val="autoZero"/>
        <c:auto val="1"/>
        <c:lblAlgn val="ctr"/>
        <c:lblOffset val="100"/>
        <c:noMultiLvlLbl val="0"/>
      </c:catAx>
      <c:valAx>
        <c:axId val="1360310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5273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5</a:t>
            </a:r>
            <a:r>
              <a:rPr lang="zh-CN" altLang="en-US"/>
              <a:t>：一般公共预算财政拨款支出决算变动情况</a:t>
            </a:r>
            <a:endParaRPr lang="zh-CN" altLang="en-US"/>
          </a:p>
        </c:rich>
      </c:tx>
      <c:layout>
        <c:manualLayout>
          <c:xMode val="edge"/>
          <c:yMode val="edge"/>
          <c:x val="0.113333333333333"/>
          <c:y val="0.0104166666666667"/>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[决算公开用表.xlsx]Sheet1!$A$45:$B$45</c:f>
              <c:strCache>
                <c:ptCount val="2"/>
                <c:pt idx="0">
                  <c:v>2022年</c:v>
                </c:pt>
                <c:pt idx="1">
                  <c:v>2021年</c:v>
                </c:pt>
              </c:strCache>
            </c:strRef>
          </c:cat>
          <c:val>
            <c:numRef>
              <c:f>[决算公开用表.xlsx]Sheet1!$A$46:$B$46</c:f>
              <c:numCache>
                <c:formatCode>General</c:formatCode>
                <c:ptCount val="2"/>
                <c:pt idx="0">
                  <c:v>2082.61</c:v>
                </c:pt>
                <c:pt idx="1">
                  <c:v>1624.6</c:v>
                </c:pt>
              </c:numCache>
            </c:numRef>
          </c:val>
        </c:ser>
        <c:dLbls>
          <c:showLegendKey val="0"/>
          <c:showVal val="1"/>
          <c:showCatName val="0"/>
          <c:showSerName val="0"/>
          <c:showPercent val="0"/>
          <c:showBubbleSize val="0"/>
        </c:dLbls>
        <c:gapWidth val="219"/>
        <c:overlap val="-27"/>
        <c:axId val="219178496"/>
        <c:axId val="136035072"/>
      </c:barChart>
      <c:catAx>
        <c:axId val="21917849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035072"/>
        <c:crosses val="autoZero"/>
        <c:auto val="1"/>
        <c:lblAlgn val="ctr"/>
        <c:lblOffset val="100"/>
        <c:noMultiLvlLbl val="0"/>
      </c:catAx>
      <c:valAx>
        <c:axId val="1360350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9178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6</a:t>
            </a:r>
            <a:r>
              <a:rPr lang="zh-CN" altLang="en-US"/>
              <a:t>：一般公共预算财政拨款支出决算结构</a:t>
            </a:r>
            <a:endParaRPr lang="zh-CN" altLang="en-US"/>
          </a:p>
        </c:rich>
      </c:tx>
      <c:layout>
        <c:manualLayout>
          <c:xMode val="edge"/>
          <c:yMode val="edge"/>
          <c:x val="0.124861111111111"/>
          <c:y val="0.0173611111111111"/>
        </c:manualLayout>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layout>
                <c:manualLayout>
                  <c:x val="-0.0353107638961329"/>
                  <c:y val="0.025572799343227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71744471847045"/>
                  <c:y val="-0.017360302497751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95223405530336"/>
                  <c:y val="-0.022371792059593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[决算公开用表.xlsx]Sheet1!$A$54:$A$57</c:f>
              <c:strCache>
                <c:ptCount val="4"/>
                <c:pt idx="0">
                  <c:v>一般公共服务（类）支出</c:v>
                </c:pt>
                <c:pt idx="1">
                  <c:v>社会保障和就业（类）支出</c:v>
                </c:pt>
                <c:pt idx="2">
                  <c:v>卫生健康（类）支出</c:v>
                </c:pt>
                <c:pt idx="3">
                  <c:v>住房保障（类）支出</c:v>
                </c:pt>
              </c:strCache>
            </c:strRef>
          </c:cat>
          <c:val>
            <c:numRef>
              <c:f>[决算公开用表.xlsx]Sheet1!$B$54:$B$57</c:f>
              <c:numCache>
                <c:formatCode>0.00%</c:formatCode>
                <c:ptCount val="4"/>
                <c:pt idx="0">
                  <c:v>0.8343</c:v>
                </c:pt>
                <c:pt idx="1" c:formatCode="0%">
                  <c:v>0.09</c:v>
                </c:pt>
                <c:pt idx="2">
                  <c:v>0.0335</c:v>
                </c:pt>
                <c:pt idx="3">
                  <c:v>0.0422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7</a:t>
            </a:r>
            <a:r>
              <a:rPr lang="zh-CN" altLang="en-US"/>
              <a:t>：“三公”经费财政拨款支出结构</a:t>
            </a:r>
            <a:endParaRPr lang="zh-CN" altLang="en-US"/>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[决算公开用表.xlsx]Sheet1!$A$70:$A$72</c:f>
              <c:strCache>
                <c:ptCount val="3"/>
                <c:pt idx="0">
                  <c:v>因公出国（境）费</c:v>
                </c:pt>
                <c:pt idx="1">
                  <c:v>公务用车购置及运行维护费</c:v>
                </c:pt>
                <c:pt idx="2">
                  <c:v>公务接待费</c:v>
                </c:pt>
              </c:strCache>
            </c:strRef>
          </c:cat>
          <c:val>
            <c:numRef>
              <c:f>[决算公开用表.xlsx]Sheet1!$B$70:$B$72</c:f>
              <c:numCache>
                <c:formatCode>General</c:formatCode>
                <c:ptCount val="3"/>
                <c:pt idx="0">
                  <c:v>0</c:v>
                </c:pt>
                <c:pt idx="1" c:formatCode="0.00%">
                  <c:v>0.7092</c:v>
                </c:pt>
                <c:pt idx="2" c:formatCode="0.00%">
                  <c:v>0.2908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490E0-A1A9-4C6C-9518-86648C01ECB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44</Pages>
  <Words>2875</Words>
  <Characters>16393</Characters>
  <Lines>136</Lines>
  <Paragraphs>38</Paragraphs>
  <TotalTime>7</TotalTime>
  <ScaleCrop>false</ScaleCrop>
  <LinksUpToDate>false</LinksUpToDate>
  <CharactersWithSpaces>19230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壹</cp:lastModifiedBy>
  <cp:lastPrinted>2023-07-31T02:35:00Z</cp:lastPrinted>
  <dcterms:modified xsi:type="dcterms:W3CDTF">2023-09-26T07:45:52Z</dcterms:modified>
  <dc:title>四川省***</dc:title>
  <cp:revision>609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F9F9EB8891CA4C9B823D6E2E1A9CA883_12</vt:lpwstr>
  </property>
</Properties>
</file>