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right="240" w:rightChars="100"/>
        <w:rPr>
          <w:rFonts w:hint="default" w:ascii="Times New Roman" w:eastAsia="仿宋_GB2312"/>
          <w:sz w:val="28"/>
          <w:szCs w:val="24"/>
        </w:rPr>
      </w:pPr>
    </w:p>
    <w:p>
      <w:pPr>
        <w:pStyle w:val="6"/>
        <w:rPr>
          <w:rFonts w:hint="default" w:ascii="Times New Roman" w:eastAsia="仿宋_GB2312"/>
          <w:sz w:val="28"/>
          <w:szCs w:val="24"/>
        </w:rPr>
      </w:pPr>
    </w:p>
    <w:p>
      <w:pPr>
        <w:pStyle w:val="6"/>
        <w:rPr>
          <w:rFonts w:hint="default" w:ascii="Times New Roman" w:eastAsia="仿宋_GB2312"/>
          <w:sz w:val="28"/>
          <w:szCs w:val="24"/>
        </w:rPr>
      </w:pPr>
    </w:p>
    <w:p>
      <w:pPr>
        <w:ind w:right="240" w:rightChars="100"/>
        <w:rPr>
          <w:rFonts w:hint="default" w:ascii="Times New Roman" w:eastAsia="Times New Roman"/>
          <w:sz w:val="28"/>
          <w:szCs w:val="24"/>
        </w:rPr>
      </w:pPr>
    </w:p>
    <w:p>
      <w:pPr>
        <w:ind w:right="240" w:rightChars="100"/>
        <w:rPr>
          <w:rFonts w:hint="default" w:ascii="Times New Roman" w:eastAsia="Times New Roman"/>
          <w:sz w:val="28"/>
          <w:szCs w:val="24"/>
        </w:rPr>
      </w:pPr>
    </w:p>
    <w:p>
      <w:pPr>
        <w:ind w:right="240" w:rightChars="100"/>
        <w:rPr>
          <w:rFonts w:hint="default" w:ascii="Times New Roman" w:eastAsia="Times New Roman"/>
          <w:sz w:val="28"/>
          <w:szCs w:val="24"/>
        </w:rPr>
      </w:pPr>
    </w:p>
    <w:p>
      <w:pPr>
        <w:ind w:right="240" w:rightChars="100"/>
        <w:rPr>
          <w:rFonts w:hint="default" w:ascii="Times New Roman" w:eastAsia="Times New Roman"/>
          <w:sz w:val="28"/>
          <w:szCs w:val="24"/>
        </w:rPr>
      </w:pPr>
    </w:p>
    <w:p>
      <w:pPr>
        <w:jc w:val="center"/>
        <w:rPr>
          <w:rFonts w:hint="default" w:ascii="黑体" w:hAnsi="黑体" w:eastAsia="黑体"/>
          <w:kern w:val="2"/>
          <w:sz w:val="44"/>
          <w:szCs w:val="24"/>
          <w:lang w:val="zh-CN"/>
        </w:rPr>
      </w:pPr>
    </w:p>
    <w:p>
      <w:pPr>
        <w:jc w:val="center"/>
        <w:rPr>
          <w:rFonts w:hint="default" w:ascii="黑体" w:hAnsi="黑体" w:eastAsia="黑体"/>
          <w:kern w:val="2"/>
          <w:sz w:val="44"/>
          <w:szCs w:val="24"/>
          <w:lang w:val="zh-CN"/>
        </w:rPr>
      </w:pPr>
    </w:p>
    <w:p>
      <w:pPr>
        <w:jc w:val="center"/>
        <w:rPr>
          <w:rFonts w:hint="default" w:ascii="黑体" w:hAnsi="黑体" w:eastAsia="黑体"/>
          <w:kern w:val="2"/>
          <w:sz w:val="44"/>
          <w:szCs w:val="24"/>
          <w:lang w:val="zh-CN"/>
        </w:rPr>
      </w:pPr>
    </w:p>
    <w:p>
      <w:pPr>
        <w:autoSpaceDE/>
        <w:autoSpaceDN/>
        <w:snapToGrid w:val="0"/>
        <w:spacing w:line="360" w:lineRule="auto"/>
        <w:jc w:val="center"/>
        <w:outlineLvl w:val="0"/>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2022年度</w:t>
      </w:r>
    </w:p>
    <w:p>
      <w:pPr>
        <w:autoSpaceDE/>
        <w:autoSpaceDN/>
        <w:snapToGrid w:val="0"/>
        <w:spacing w:line="360" w:lineRule="auto"/>
        <w:jc w:val="center"/>
        <w:outlineLvl w:val="0"/>
        <w:rPr>
          <w:rFonts w:hint="eastAsia" w:ascii="方正小标宋简体" w:hAnsi="方正小标宋简体" w:eastAsia="方正小标宋简体"/>
          <w:kern w:val="2"/>
          <w:sz w:val="72"/>
          <w:szCs w:val="24"/>
        </w:rPr>
      </w:pPr>
      <w:r>
        <w:rPr>
          <w:rFonts w:hint="eastAsia" w:ascii="方正小标宋简体" w:hAnsi="方正小标宋简体" w:eastAsia="方正小标宋简体"/>
          <w:kern w:val="2"/>
          <w:sz w:val="72"/>
          <w:szCs w:val="24"/>
        </w:rPr>
        <w:t>中共雅安市纪律检查委员会</w:t>
      </w:r>
    </w:p>
    <w:p>
      <w:pPr>
        <w:autoSpaceDE/>
        <w:autoSpaceDN/>
        <w:snapToGrid w:val="0"/>
        <w:spacing w:line="360" w:lineRule="auto"/>
        <w:jc w:val="center"/>
        <w:outlineLvl w:val="0"/>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部门决算编制说明</w:t>
      </w:r>
    </w:p>
    <w:p>
      <w:pPr>
        <w:keepNext/>
        <w:keepLines/>
        <w:tabs>
          <w:tab w:val="right" w:leader="dot" w:pos="8296"/>
        </w:tabs>
        <w:spacing w:line="576" w:lineRule="exact"/>
        <w:jc w:val="center"/>
        <w:rPr>
          <w:rFonts w:hint="default" w:ascii="黑体" w:hAnsi="黑体" w:eastAsia="黑体"/>
          <w:kern w:val="2"/>
          <w:sz w:val="48"/>
          <w:szCs w:val="24"/>
        </w:rPr>
      </w:pPr>
      <w:r>
        <w:rPr>
          <w:rFonts w:hint="default" w:ascii="仿宋" w:hAnsi="仿宋" w:eastAsia="仿宋"/>
          <w:i/>
          <w:color w:val="FF0000"/>
          <w:kern w:val="2"/>
          <w:sz w:val="52"/>
          <w:szCs w:val="24"/>
        </w:rPr>
        <w:t xml:space="preserve"> </w:t>
      </w:r>
      <w:r>
        <w:rPr>
          <w:rFonts w:hint="default" w:ascii="黑体" w:hAnsi="黑体" w:eastAsia="黑体"/>
          <w:kern w:val="2"/>
          <w:sz w:val="48"/>
          <w:szCs w:val="24"/>
        </w:rPr>
        <w:t>目录</w:t>
      </w:r>
    </w:p>
    <w:p>
      <w:pPr>
        <w:keepNext/>
        <w:keepLines/>
        <w:tabs>
          <w:tab w:val="right" w:leader="dot" w:pos="8845"/>
        </w:tabs>
        <w:spacing w:line="440" w:lineRule="exact"/>
        <w:rPr>
          <w:rFonts w:hint="eastAsia" w:ascii="仿宋_GB2312" w:hAnsi="仿宋" w:eastAsia="仿宋_GB2312"/>
          <w:sz w:val="24"/>
          <w:szCs w:val="24"/>
          <w:lang w:val="zh-CN"/>
        </w:rPr>
      </w:pPr>
      <w:r>
        <w:rPr>
          <w:rFonts w:hint="eastAsia" w:ascii="仿宋_GB2312" w:hAnsi="仿宋" w:eastAsia="仿宋_GB2312"/>
          <w:sz w:val="24"/>
          <w:szCs w:val="24"/>
          <w:lang w:val="zh-CN"/>
        </w:rPr>
        <w:t>第一部分 部门概况</w:t>
      </w:r>
    </w:p>
    <w:p>
      <w:pPr>
        <w:keepNext/>
        <w:keepLines/>
        <w:tabs>
          <w:tab w:val="right" w:leader="dot" w:pos="8845"/>
        </w:tabs>
        <w:spacing w:line="440" w:lineRule="exact"/>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一、基本职能及主要工作</w:t>
      </w:r>
    </w:p>
    <w:p>
      <w:pPr>
        <w:keepNext/>
        <w:keepLines/>
        <w:tabs>
          <w:tab w:val="right" w:leader="dot" w:pos="8845"/>
        </w:tabs>
        <w:spacing w:line="440" w:lineRule="exact"/>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二、机构设置</w:t>
      </w:r>
    </w:p>
    <w:p>
      <w:pPr>
        <w:keepNext/>
        <w:keepLines/>
        <w:tabs>
          <w:tab w:val="right" w:leader="dot" w:pos="8845"/>
        </w:tabs>
        <w:spacing w:line="420" w:lineRule="exact"/>
        <w:rPr>
          <w:rFonts w:hint="eastAsia" w:ascii="仿宋_GB2312" w:hAnsi="仿宋" w:eastAsia="仿宋_GB2312"/>
          <w:sz w:val="24"/>
          <w:szCs w:val="24"/>
          <w:lang w:val="zh-CN"/>
        </w:rPr>
      </w:pPr>
      <w:r>
        <w:rPr>
          <w:rFonts w:hint="eastAsia" w:ascii="仿宋_GB2312" w:hAnsi="仿宋" w:eastAsia="仿宋_GB2312"/>
          <w:sz w:val="24"/>
          <w:szCs w:val="24"/>
          <w:lang w:val="zh-CN"/>
        </w:rPr>
        <w:t>第二部分 202</w:t>
      </w:r>
      <w:r>
        <w:rPr>
          <w:rFonts w:hint="eastAsia" w:ascii="仿宋_GB2312" w:hAnsi="仿宋" w:eastAsia="仿宋_GB2312"/>
          <w:sz w:val="24"/>
          <w:szCs w:val="24"/>
          <w:lang w:val="en-US" w:eastAsia="zh-CN"/>
        </w:rPr>
        <w:t>2</w:t>
      </w:r>
      <w:bookmarkStart w:id="1" w:name="_GoBack"/>
      <w:bookmarkEnd w:id="1"/>
      <w:r>
        <w:rPr>
          <w:rFonts w:hint="eastAsia" w:ascii="仿宋_GB2312" w:hAnsi="仿宋" w:eastAsia="仿宋_GB2312"/>
          <w:sz w:val="24"/>
          <w:szCs w:val="24"/>
          <w:lang w:val="zh-CN"/>
        </w:rPr>
        <w:t>年度部门决算情况说明</w:t>
      </w:r>
    </w:p>
    <w:p>
      <w:pPr>
        <w:keepNext/>
        <w:keepLines/>
        <w:tabs>
          <w:tab w:val="right" w:leader="dot" w:pos="8845"/>
        </w:tabs>
        <w:spacing w:line="420" w:lineRule="exact"/>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一、收入支出决算总体情况说明</w:t>
      </w:r>
    </w:p>
    <w:p>
      <w:pPr>
        <w:keepNext/>
        <w:keepLines/>
        <w:tabs>
          <w:tab w:val="right" w:leader="dot" w:pos="8845"/>
        </w:tabs>
        <w:spacing w:line="440" w:lineRule="exact"/>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二、收入决算情况说明</w:t>
      </w:r>
    </w:p>
    <w:p>
      <w:pPr>
        <w:keepNext/>
        <w:keepLines/>
        <w:tabs>
          <w:tab w:val="right" w:leader="dot" w:pos="8845"/>
        </w:tabs>
        <w:spacing w:line="440" w:lineRule="exact"/>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三、支出决算情况说明</w:t>
      </w:r>
    </w:p>
    <w:p>
      <w:pPr>
        <w:keepNext/>
        <w:keepLines/>
        <w:tabs>
          <w:tab w:val="right" w:leader="dot" w:pos="8845"/>
        </w:tabs>
        <w:spacing w:line="440" w:lineRule="exact"/>
        <w:rPr>
          <w:rFonts w:hint="eastAsia" w:ascii="仿宋_GB2312" w:hAnsi="仿宋_GB2312" w:eastAsia="仿宋_GB2312"/>
          <w:sz w:val="24"/>
          <w:szCs w:val="24"/>
          <w:lang w:val="zh-CN"/>
        </w:rPr>
      </w:pPr>
      <w:r>
        <w:rPr>
          <w:rFonts w:hint="eastAsia" w:ascii="仿宋_GB2312" w:hAnsi="仿宋_GB2312" w:eastAsia="仿宋_GB2312"/>
          <w:sz w:val="24"/>
          <w:szCs w:val="24"/>
          <w:lang w:val="zh-CN"/>
        </w:rPr>
        <w:t>四、财政拨款收入支出决算总体情况说明</w:t>
      </w:r>
    </w:p>
    <w:p>
      <w:pPr>
        <w:keepNext/>
        <w:keepLines/>
        <w:tabs>
          <w:tab w:val="right" w:leader="dot" w:pos="8845"/>
        </w:tabs>
        <w:spacing w:line="440" w:lineRule="exact"/>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五、一般公共预算财政拨款支出决算情况说明</w:t>
      </w:r>
    </w:p>
    <w:p>
      <w:pPr>
        <w:keepNext/>
        <w:keepLines/>
        <w:tabs>
          <w:tab w:val="right" w:leader="dot" w:pos="8845"/>
        </w:tabs>
        <w:spacing w:line="440" w:lineRule="exact"/>
        <w:rPr>
          <w:rFonts w:hint="eastAsia" w:ascii="仿宋_GB2312" w:hAnsi="仿宋_GB2312" w:eastAsia="仿宋_GB2312"/>
          <w:sz w:val="24"/>
          <w:szCs w:val="24"/>
          <w:lang w:val="zh-CN"/>
        </w:rPr>
      </w:pPr>
      <w:r>
        <w:rPr>
          <w:rFonts w:hint="eastAsia" w:ascii="仿宋_GB2312" w:hAnsi="仿宋_GB2312" w:eastAsia="仿宋_GB2312"/>
          <w:sz w:val="24"/>
          <w:szCs w:val="24"/>
          <w:lang w:val="zh-CN"/>
        </w:rPr>
        <w:t>六、一般公共预算财政拨款基本支出决算情况说明</w:t>
      </w:r>
    </w:p>
    <w:p>
      <w:pPr>
        <w:keepNext/>
        <w:keepLines/>
        <w:tabs>
          <w:tab w:val="right" w:leader="dot" w:pos="8845"/>
        </w:tabs>
        <w:spacing w:line="440" w:lineRule="exact"/>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七、“三公”经费财政拨款支出决算情况说明</w:t>
      </w:r>
    </w:p>
    <w:p>
      <w:pPr>
        <w:keepNext/>
        <w:keepLines/>
        <w:tabs>
          <w:tab w:val="right" w:leader="dot" w:pos="8845"/>
        </w:tabs>
        <w:spacing w:line="440" w:lineRule="exact"/>
        <w:rPr>
          <w:rFonts w:hint="eastAsia" w:ascii="仿宋_GB2312" w:hAnsi="仿宋_GB2312" w:eastAsia="仿宋_GB2312"/>
          <w:sz w:val="24"/>
          <w:szCs w:val="24"/>
          <w:lang w:val="zh-CN"/>
        </w:rPr>
      </w:pPr>
      <w:r>
        <w:rPr>
          <w:rFonts w:hint="eastAsia" w:ascii="仿宋_GB2312" w:hAnsi="仿宋_GB2312" w:eastAsia="仿宋_GB2312"/>
          <w:sz w:val="24"/>
          <w:szCs w:val="24"/>
          <w:lang w:val="zh-CN"/>
        </w:rPr>
        <w:t>八、政府性基金预算支出决算情况说明</w:t>
      </w:r>
    </w:p>
    <w:p>
      <w:pPr>
        <w:keepNext/>
        <w:keepLines/>
        <w:tabs>
          <w:tab w:val="right" w:leader="dot" w:pos="8845"/>
        </w:tabs>
        <w:spacing w:line="440" w:lineRule="exact"/>
        <w:rPr>
          <w:rFonts w:hint="eastAsia" w:ascii="仿宋_GB2312" w:hAnsi="仿宋_GB2312" w:eastAsia="仿宋_GB2312"/>
          <w:sz w:val="24"/>
          <w:szCs w:val="24"/>
          <w:lang w:val="zh-CN"/>
        </w:rPr>
      </w:pPr>
      <w:r>
        <w:rPr>
          <w:rFonts w:hint="eastAsia" w:ascii="仿宋_GB2312" w:hAnsi="仿宋_GB2312" w:eastAsia="仿宋_GB2312"/>
          <w:sz w:val="24"/>
          <w:szCs w:val="24"/>
          <w:lang w:val="zh-CN"/>
        </w:rPr>
        <w:t>九、国有资本经营预算支出决算情况说明</w:t>
      </w:r>
    </w:p>
    <w:p>
      <w:pPr>
        <w:keepNext/>
        <w:keepLines/>
        <w:tabs>
          <w:tab w:val="right" w:leader="dot" w:pos="8845"/>
        </w:tabs>
        <w:spacing w:line="440" w:lineRule="exact"/>
        <w:rPr>
          <w:rFonts w:hint="eastAsia" w:ascii="仿宋_GB2312" w:hAnsi="仿宋_GB2312" w:eastAsia="仿宋_GB2312"/>
          <w:sz w:val="24"/>
          <w:szCs w:val="24"/>
          <w:lang w:val="zh-CN"/>
        </w:rPr>
      </w:pPr>
      <w:r>
        <w:rPr>
          <w:rFonts w:hint="eastAsia" w:ascii="仿宋_GB2312" w:hAnsi="仿宋_GB2312" w:eastAsia="仿宋_GB2312"/>
          <w:sz w:val="24"/>
          <w:szCs w:val="24"/>
          <w:lang w:val="zh-CN"/>
        </w:rPr>
        <w:t>十、其他重要事项的情况说明</w:t>
      </w:r>
    </w:p>
    <w:p>
      <w:pPr>
        <w:keepNext/>
        <w:keepLines/>
        <w:tabs>
          <w:tab w:val="right" w:leader="dot" w:pos="8845"/>
        </w:tabs>
        <w:spacing w:line="440" w:lineRule="exact"/>
        <w:rPr>
          <w:rFonts w:hint="eastAsia" w:ascii="仿宋_GB2312" w:hAnsi="仿宋" w:eastAsia="仿宋_GB2312"/>
          <w:sz w:val="24"/>
          <w:szCs w:val="24"/>
          <w:lang w:val="zh-CN"/>
        </w:rPr>
      </w:pPr>
      <w:r>
        <w:rPr>
          <w:rFonts w:hint="eastAsia" w:ascii="仿宋_GB2312" w:hAnsi="仿宋" w:eastAsia="仿宋_GB2312"/>
          <w:sz w:val="24"/>
          <w:szCs w:val="24"/>
          <w:lang w:val="zh-CN"/>
        </w:rPr>
        <w:t>第三部分</w:t>
      </w:r>
      <w:r>
        <w:rPr>
          <w:rFonts w:hint="eastAsia" w:ascii="仿宋_GB2312" w:hAnsi="仿宋" w:eastAsia="仿宋_GB2312"/>
          <w:sz w:val="24"/>
          <w:szCs w:val="24"/>
        </w:rPr>
        <w:t xml:space="preserve">  </w:t>
      </w:r>
      <w:r>
        <w:rPr>
          <w:rFonts w:hint="eastAsia" w:ascii="仿宋_GB2312" w:hAnsi="仿宋" w:eastAsia="仿宋_GB2312"/>
          <w:sz w:val="24"/>
          <w:szCs w:val="24"/>
          <w:lang w:val="zh-CN"/>
        </w:rPr>
        <w:t>名词解释</w:t>
      </w:r>
    </w:p>
    <w:p>
      <w:pPr>
        <w:keepNext/>
        <w:keepLines/>
        <w:tabs>
          <w:tab w:val="right" w:leader="dot" w:pos="8845"/>
        </w:tabs>
        <w:spacing w:line="440" w:lineRule="exact"/>
        <w:rPr>
          <w:rFonts w:hint="eastAsia" w:ascii="仿宋_GB2312" w:hAnsi="仿宋" w:eastAsia="仿宋_GB2312"/>
          <w:sz w:val="24"/>
          <w:szCs w:val="24"/>
          <w:lang w:val="zh-CN"/>
        </w:rPr>
      </w:pPr>
      <w:r>
        <w:rPr>
          <w:rFonts w:hint="eastAsia" w:ascii="仿宋_GB2312" w:hAnsi="仿宋" w:eastAsia="仿宋_GB2312"/>
          <w:sz w:val="24"/>
          <w:szCs w:val="24"/>
          <w:lang w:val="zh-CN"/>
        </w:rPr>
        <w:t>第四部分 附件</w:t>
      </w:r>
    </w:p>
    <w:p>
      <w:pPr>
        <w:keepNext/>
        <w:keepLines/>
        <w:tabs>
          <w:tab w:val="right" w:leader="dot" w:pos="8845"/>
        </w:tabs>
        <w:spacing w:line="440" w:lineRule="exact"/>
        <w:rPr>
          <w:rFonts w:hint="eastAsia" w:ascii="仿宋_GB2312" w:hAnsi="宋体" w:eastAsia="仿宋_GB2312"/>
          <w:sz w:val="24"/>
          <w:szCs w:val="24"/>
          <w:lang w:val="zh-CN"/>
        </w:rPr>
      </w:pPr>
      <w:r>
        <w:rPr>
          <w:rFonts w:hint="eastAsia" w:ascii="仿宋_GB2312" w:hAnsi="宋体" w:eastAsia="仿宋_GB2312"/>
          <w:sz w:val="24"/>
          <w:szCs w:val="24"/>
          <w:lang w:val="zh-CN"/>
        </w:rPr>
        <w:t>附件1</w:t>
      </w:r>
    </w:p>
    <w:p>
      <w:pPr>
        <w:pStyle w:val="2"/>
        <w:ind w:leftChars="0" w:firstLine="0" w:firstLineChars="0"/>
        <w:rPr>
          <w:rFonts w:hint="eastAsia" w:hAnsi="宋体"/>
          <w:sz w:val="24"/>
          <w:szCs w:val="24"/>
        </w:rPr>
      </w:pPr>
      <w:r>
        <w:rPr>
          <w:rFonts w:hint="eastAsia" w:hAnsi="宋体"/>
          <w:sz w:val="24"/>
          <w:szCs w:val="24"/>
          <w:lang w:val="zh-CN"/>
        </w:rPr>
        <w:t>附件</w:t>
      </w:r>
      <w:r>
        <w:rPr>
          <w:rFonts w:hint="eastAsia" w:hAnsi="宋体"/>
          <w:sz w:val="24"/>
          <w:szCs w:val="24"/>
        </w:rPr>
        <w:t>2</w:t>
      </w:r>
    </w:p>
    <w:p>
      <w:pPr>
        <w:pStyle w:val="2"/>
        <w:ind w:leftChars="0" w:firstLine="0" w:firstLineChars="0"/>
        <w:rPr>
          <w:rFonts w:hint="eastAsia" w:hAnsi="宋体"/>
          <w:sz w:val="24"/>
          <w:szCs w:val="24"/>
          <w:lang w:val="zh-CN"/>
        </w:rPr>
      </w:pPr>
      <w:r>
        <w:rPr>
          <w:rFonts w:hint="eastAsia" w:hAnsi="仿宋"/>
          <w:sz w:val="24"/>
          <w:szCs w:val="24"/>
          <w:lang w:val="zh-CN"/>
        </w:rPr>
        <w:t>第五部分</w:t>
      </w:r>
      <w:r>
        <w:rPr>
          <w:rFonts w:hint="eastAsia" w:hAnsi="仿宋"/>
          <w:sz w:val="24"/>
          <w:szCs w:val="24"/>
        </w:rPr>
        <w:t xml:space="preserve"> </w:t>
      </w:r>
      <w:r>
        <w:rPr>
          <w:rFonts w:hint="eastAsia" w:hAnsi="仿宋"/>
          <w:sz w:val="24"/>
          <w:szCs w:val="24"/>
          <w:lang w:val="zh-CN"/>
        </w:rPr>
        <w:t>附表</w:t>
      </w:r>
    </w:p>
    <w:p>
      <w:pPr>
        <w:pStyle w:val="2"/>
        <w:numPr>
          <w:ilvl w:val="0"/>
          <w:numId w:val="0"/>
        </w:numPr>
        <w:ind w:firstLine="0"/>
        <w:rPr>
          <w:rFonts w:hint="eastAsia" w:hAnsi="宋体"/>
          <w:sz w:val="24"/>
          <w:szCs w:val="24"/>
          <w:lang w:val="zh-CN"/>
        </w:rPr>
      </w:pPr>
      <w:r>
        <w:rPr>
          <w:rFonts w:hint="eastAsia" w:hAnsi="宋体"/>
          <w:sz w:val="24"/>
          <w:szCs w:val="24"/>
          <w:lang w:val="zh-CN"/>
        </w:rPr>
        <w:t>一、收入支出决算总表</w:t>
      </w:r>
    </w:p>
    <w:p>
      <w:pPr>
        <w:pStyle w:val="2"/>
        <w:numPr>
          <w:ilvl w:val="0"/>
          <w:numId w:val="0"/>
        </w:numPr>
        <w:ind w:firstLine="0"/>
        <w:rPr>
          <w:rFonts w:hint="eastAsia" w:hAnsi="宋体"/>
          <w:sz w:val="24"/>
          <w:szCs w:val="24"/>
          <w:lang w:val="zh-CN"/>
        </w:rPr>
      </w:pPr>
      <w:r>
        <w:rPr>
          <w:rFonts w:hint="eastAsia" w:hAnsi="宋体"/>
          <w:sz w:val="24"/>
          <w:szCs w:val="24"/>
          <w:lang w:val="zh-CN"/>
        </w:rPr>
        <w:t>二、收入决算表</w:t>
      </w:r>
    </w:p>
    <w:p>
      <w:pPr>
        <w:pStyle w:val="2"/>
        <w:numPr>
          <w:ilvl w:val="0"/>
          <w:numId w:val="0"/>
        </w:numPr>
        <w:ind w:firstLine="0"/>
        <w:rPr>
          <w:rFonts w:hint="eastAsia" w:hAnsi="宋体"/>
          <w:sz w:val="24"/>
          <w:szCs w:val="24"/>
          <w:lang w:val="zh-CN"/>
        </w:rPr>
      </w:pPr>
      <w:r>
        <w:rPr>
          <w:rFonts w:hint="eastAsia" w:hAnsi="宋体"/>
          <w:sz w:val="24"/>
          <w:szCs w:val="24"/>
          <w:lang w:val="zh-CN"/>
        </w:rPr>
        <w:t>三、支出决算表</w:t>
      </w:r>
    </w:p>
    <w:p>
      <w:pPr>
        <w:pStyle w:val="2"/>
        <w:numPr>
          <w:ilvl w:val="0"/>
          <w:numId w:val="0"/>
        </w:numPr>
        <w:ind w:firstLine="0"/>
        <w:rPr>
          <w:rFonts w:hint="eastAsia" w:hAnsi="宋体"/>
          <w:sz w:val="24"/>
          <w:szCs w:val="24"/>
          <w:lang w:val="zh-CN"/>
        </w:rPr>
      </w:pPr>
      <w:r>
        <w:rPr>
          <w:rFonts w:hint="eastAsia" w:hAnsi="宋体"/>
          <w:sz w:val="24"/>
          <w:szCs w:val="24"/>
          <w:lang w:val="zh-CN"/>
        </w:rPr>
        <w:t>四、财政拨款收入支出决算总表</w:t>
      </w:r>
    </w:p>
    <w:p>
      <w:pPr>
        <w:pStyle w:val="2"/>
        <w:numPr>
          <w:ilvl w:val="0"/>
          <w:numId w:val="0"/>
        </w:numPr>
        <w:ind w:firstLine="0"/>
        <w:rPr>
          <w:rFonts w:hint="eastAsia" w:hAnsi="宋体"/>
          <w:sz w:val="24"/>
          <w:szCs w:val="24"/>
          <w:lang w:val="zh-CN"/>
        </w:rPr>
      </w:pPr>
      <w:r>
        <w:rPr>
          <w:rFonts w:hint="eastAsia" w:hAnsi="宋体"/>
          <w:sz w:val="24"/>
          <w:szCs w:val="24"/>
          <w:lang w:val="zh-CN"/>
        </w:rPr>
        <w:t>五、财政拨款支出决算明细表</w:t>
      </w:r>
    </w:p>
    <w:p>
      <w:pPr>
        <w:pStyle w:val="2"/>
        <w:numPr>
          <w:ilvl w:val="0"/>
          <w:numId w:val="0"/>
        </w:numPr>
        <w:ind w:firstLine="0"/>
        <w:rPr>
          <w:rFonts w:hint="eastAsia" w:hAnsi="宋体"/>
          <w:sz w:val="24"/>
          <w:szCs w:val="24"/>
          <w:lang w:val="zh-CN"/>
        </w:rPr>
      </w:pPr>
      <w:r>
        <w:rPr>
          <w:rFonts w:hint="eastAsia" w:hAnsi="宋体"/>
          <w:sz w:val="24"/>
          <w:szCs w:val="24"/>
          <w:lang w:val="zh-CN"/>
        </w:rPr>
        <w:t>六、一般公共预算财政拨款支出决算表</w:t>
      </w:r>
    </w:p>
    <w:p>
      <w:pPr>
        <w:pStyle w:val="2"/>
        <w:numPr>
          <w:ilvl w:val="0"/>
          <w:numId w:val="0"/>
        </w:numPr>
        <w:ind w:firstLine="0"/>
        <w:rPr>
          <w:rFonts w:hint="eastAsia" w:hAnsi="宋体"/>
          <w:sz w:val="24"/>
          <w:szCs w:val="24"/>
          <w:lang w:val="zh-CN"/>
        </w:rPr>
      </w:pPr>
      <w:r>
        <w:rPr>
          <w:rFonts w:hint="eastAsia" w:hAnsi="宋体"/>
          <w:sz w:val="24"/>
          <w:szCs w:val="24"/>
          <w:lang w:val="zh-CN"/>
        </w:rPr>
        <w:t>七、一般公共预算财政拨款支出决算明细表</w:t>
      </w:r>
    </w:p>
    <w:p>
      <w:pPr>
        <w:pStyle w:val="2"/>
        <w:numPr>
          <w:ilvl w:val="0"/>
          <w:numId w:val="0"/>
        </w:numPr>
        <w:ind w:firstLine="0"/>
        <w:rPr>
          <w:rFonts w:hint="eastAsia" w:hAnsi="宋体"/>
          <w:sz w:val="24"/>
          <w:szCs w:val="24"/>
          <w:lang w:val="zh-CN"/>
        </w:rPr>
      </w:pPr>
      <w:r>
        <w:rPr>
          <w:rFonts w:hint="eastAsia" w:hAnsi="宋体"/>
          <w:sz w:val="24"/>
          <w:szCs w:val="24"/>
          <w:lang w:val="zh-CN"/>
        </w:rPr>
        <w:t>八、一般公共预算财政拨款基本支出决算表</w:t>
      </w:r>
    </w:p>
    <w:p>
      <w:pPr>
        <w:pStyle w:val="2"/>
        <w:numPr>
          <w:ilvl w:val="0"/>
          <w:numId w:val="0"/>
        </w:numPr>
        <w:ind w:firstLine="0"/>
        <w:rPr>
          <w:rFonts w:hint="eastAsia" w:hAnsi="宋体"/>
          <w:sz w:val="24"/>
          <w:szCs w:val="24"/>
          <w:lang w:val="zh-CN"/>
        </w:rPr>
      </w:pPr>
      <w:r>
        <w:rPr>
          <w:rFonts w:hint="eastAsia" w:hAnsi="宋体"/>
          <w:sz w:val="24"/>
          <w:szCs w:val="24"/>
          <w:lang w:val="zh-CN"/>
        </w:rPr>
        <w:t>九、一般公共预算财政拨款项目支出决算表</w:t>
      </w:r>
    </w:p>
    <w:p>
      <w:pPr>
        <w:keepNext/>
        <w:keepLines/>
        <w:tabs>
          <w:tab w:val="right" w:leader="dot" w:pos="8845"/>
        </w:tabs>
        <w:spacing w:line="440" w:lineRule="exact"/>
        <w:rPr>
          <w:rFonts w:hint="eastAsia" w:ascii="仿宋_GB2312" w:hAnsi="宋体" w:eastAsia="仿宋_GB2312"/>
          <w:sz w:val="24"/>
          <w:szCs w:val="24"/>
          <w:lang w:val="zh-CN"/>
        </w:rPr>
      </w:pPr>
      <w:r>
        <w:rPr>
          <w:rFonts w:hint="eastAsia" w:ascii="仿宋_GB2312" w:hAnsi="宋体" w:eastAsia="仿宋_GB2312"/>
          <w:sz w:val="24"/>
          <w:szCs w:val="24"/>
          <w:lang w:val="zh-CN"/>
        </w:rPr>
        <w:t>十、政府性基金预算财政拨款收入支出决算表</w:t>
      </w:r>
    </w:p>
    <w:p>
      <w:pPr>
        <w:keepNext/>
        <w:keepLines/>
        <w:tabs>
          <w:tab w:val="right" w:leader="dot" w:pos="8845"/>
        </w:tabs>
        <w:spacing w:line="440" w:lineRule="exact"/>
        <w:rPr>
          <w:rFonts w:hint="eastAsia" w:ascii="仿宋_GB2312" w:hAnsi="宋体" w:eastAsia="仿宋_GB2312"/>
          <w:sz w:val="24"/>
          <w:szCs w:val="24"/>
          <w:lang w:val="zh-CN"/>
        </w:rPr>
      </w:pPr>
      <w:r>
        <w:rPr>
          <w:rFonts w:hint="eastAsia" w:ascii="仿宋_GB2312" w:hAnsi="宋体" w:eastAsia="仿宋_GB2312"/>
          <w:sz w:val="24"/>
          <w:szCs w:val="24"/>
          <w:lang w:val="zh-CN"/>
        </w:rPr>
        <w:t>十一、国有资本经营预算财政拨款收入支出决算表</w:t>
      </w:r>
    </w:p>
    <w:p>
      <w:pPr>
        <w:keepNext/>
        <w:keepLines/>
        <w:tabs>
          <w:tab w:val="right" w:leader="dot" w:pos="8845"/>
        </w:tabs>
        <w:spacing w:line="440" w:lineRule="exact"/>
        <w:rPr>
          <w:rFonts w:hint="eastAsia" w:ascii="仿宋_GB2312" w:hAnsi="宋体" w:eastAsia="仿宋_GB2312"/>
          <w:sz w:val="24"/>
          <w:szCs w:val="24"/>
          <w:lang w:val="zh-CN"/>
        </w:rPr>
      </w:pPr>
      <w:r>
        <w:rPr>
          <w:rFonts w:hint="eastAsia" w:ascii="仿宋_GB2312" w:hAnsi="宋体" w:eastAsia="仿宋_GB2312"/>
          <w:sz w:val="24"/>
          <w:szCs w:val="24"/>
          <w:lang w:val="zh-CN"/>
        </w:rPr>
        <w:t>十二、国有资本经营预算财政拨款支出决算表</w:t>
      </w:r>
    </w:p>
    <w:p>
      <w:pPr>
        <w:spacing w:line="440" w:lineRule="exact"/>
        <w:rPr>
          <w:rFonts w:hint="eastAsia" w:ascii="仿宋_GB2312" w:hAnsi="宋体" w:eastAsia="仿宋_GB2312"/>
          <w:sz w:val="24"/>
          <w:szCs w:val="24"/>
          <w:lang w:val="zh-CN"/>
        </w:rPr>
      </w:pPr>
      <w:r>
        <w:rPr>
          <w:rFonts w:hint="eastAsia" w:ascii="仿宋_GB2312" w:hAnsi="宋体" w:eastAsia="仿宋_GB2312"/>
          <w:sz w:val="24"/>
          <w:szCs w:val="24"/>
          <w:lang w:val="zh-CN"/>
        </w:rPr>
        <w:t>十三、财政拨款“三公”经费支出决算表</w:t>
      </w:r>
    </w:p>
    <w:p>
      <w:pPr>
        <w:numPr>
          <w:ilvl w:val="0"/>
          <w:numId w:val="0"/>
        </w:numPr>
        <w:rPr>
          <w:rFonts w:hint="eastAsia"/>
          <w:sz w:val="24"/>
          <w:szCs w:val="24"/>
          <w:lang w:val="zh-CN"/>
        </w:rPr>
      </w:pPr>
    </w:p>
    <w:p>
      <w:pPr>
        <w:pStyle w:val="2"/>
        <w:rPr>
          <w:rFonts w:hint="eastAsia"/>
          <w:sz w:val="24"/>
          <w:szCs w:val="24"/>
          <w:lang w:val="zh-CN"/>
        </w:rPr>
      </w:pPr>
    </w:p>
    <w:p>
      <w:pPr>
        <w:jc w:val="center"/>
        <w:rPr>
          <w:rFonts w:hint="eastAsia" w:ascii="仿宋_GB2312" w:hAnsi="黑体" w:eastAsia="仿宋_GB2312"/>
          <w:kern w:val="2"/>
          <w:sz w:val="44"/>
          <w:szCs w:val="24"/>
          <w:lang w:val="zh-CN"/>
        </w:rPr>
      </w:pPr>
    </w:p>
    <w:p>
      <w:pPr>
        <w:pStyle w:val="2"/>
        <w:rPr>
          <w:rFonts w:hint="eastAsia" w:hAnsi="黑体"/>
          <w:kern w:val="2"/>
          <w:sz w:val="44"/>
          <w:szCs w:val="24"/>
          <w:lang w:val="zh-CN"/>
        </w:rPr>
      </w:pPr>
    </w:p>
    <w:p>
      <w:pPr>
        <w:rPr>
          <w:rFonts w:hint="eastAsia" w:ascii="仿宋_GB2312" w:hAnsi="黑体" w:eastAsia="仿宋_GB2312"/>
          <w:kern w:val="2"/>
          <w:sz w:val="44"/>
          <w:szCs w:val="24"/>
          <w:lang w:val="zh-CN"/>
        </w:rPr>
      </w:pPr>
    </w:p>
    <w:p>
      <w:pPr>
        <w:pStyle w:val="2"/>
        <w:rPr>
          <w:rFonts w:hint="eastAsia" w:hAnsi="黑体"/>
          <w:kern w:val="2"/>
          <w:sz w:val="44"/>
          <w:szCs w:val="24"/>
          <w:lang w:val="zh-CN"/>
        </w:rPr>
      </w:pPr>
    </w:p>
    <w:p>
      <w:pPr>
        <w:rPr>
          <w:rFonts w:hint="eastAsia" w:ascii="仿宋_GB2312" w:hAnsi="黑体" w:eastAsia="仿宋_GB2312"/>
          <w:kern w:val="2"/>
          <w:sz w:val="44"/>
          <w:szCs w:val="24"/>
          <w:lang w:val="zh-CN"/>
        </w:rPr>
      </w:pPr>
    </w:p>
    <w:p>
      <w:pPr>
        <w:pStyle w:val="2"/>
        <w:rPr>
          <w:rFonts w:hint="eastAsia" w:hAnsi="黑体"/>
          <w:kern w:val="2"/>
          <w:sz w:val="44"/>
          <w:szCs w:val="24"/>
          <w:lang w:val="zh-CN"/>
        </w:rPr>
      </w:pPr>
    </w:p>
    <w:p>
      <w:pPr>
        <w:rPr>
          <w:rFonts w:hint="eastAsia" w:ascii="仿宋_GB2312" w:hAnsi="黑体" w:eastAsia="仿宋_GB2312"/>
          <w:kern w:val="2"/>
          <w:sz w:val="44"/>
          <w:szCs w:val="24"/>
          <w:lang w:val="zh-CN"/>
        </w:rPr>
      </w:pPr>
    </w:p>
    <w:p>
      <w:pPr>
        <w:pStyle w:val="2"/>
        <w:rPr>
          <w:rFonts w:hint="eastAsia" w:hAnsi="黑体"/>
          <w:kern w:val="2"/>
          <w:sz w:val="44"/>
          <w:szCs w:val="24"/>
          <w:lang w:val="zh-CN"/>
        </w:rPr>
      </w:pPr>
    </w:p>
    <w:p>
      <w:pPr>
        <w:rPr>
          <w:rFonts w:hint="eastAsia" w:ascii="仿宋_GB2312" w:hAnsi="黑体" w:eastAsia="仿宋_GB2312"/>
          <w:kern w:val="2"/>
          <w:sz w:val="44"/>
          <w:szCs w:val="24"/>
          <w:lang w:val="zh-CN"/>
        </w:rPr>
      </w:pPr>
    </w:p>
    <w:p>
      <w:pPr>
        <w:pStyle w:val="2"/>
        <w:rPr>
          <w:rFonts w:hint="eastAsia" w:hAnsi="黑体"/>
          <w:kern w:val="2"/>
          <w:sz w:val="44"/>
          <w:szCs w:val="24"/>
          <w:lang w:val="zh-CN"/>
        </w:rPr>
      </w:pPr>
    </w:p>
    <w:p>
      <w:pPr>
        <w:rPr>
          <w:rFonts w:hint="eastAsia" w:ascii="仿宋_GB2312" w:hAnsi="黑体" w:eastAsia="仿宋_GB2312"/>
          <w:kern w:val="2"/>
          <w:sz w:val="44"/>
          <w:szCs w:val="24"/>
          <w:lang w:val="zh-CN"/>
        </w:rPr>
      </w:pPr>
    </w:p>
    <w:p>
      <w:pPr>
        <w:pStyle w:val="2"/>
        <w:rPr>
          <w:rFonts w:hint="eastAsia" w:hAnsi="黑体"/>
          <w:kern w:val="2"/>
          <w:sz w:val="44"/>
          <w:szCs w:val="24"/>
          <w:lang w:val="zh-CN"/>
        </w:rPr>
      </w:pPr>
    </w:p>
    <w:p>
      <w:pPr>
        <w:rPr>
          <w:rFonts w:hint="eastAsia" w:ascii="仿宋_GB2312" w:hAnsi="黑体" w:eastAsia="仿宋_GB2312"/>
          <w:kern w:val="2"/>
          <w:sz w:val="44"/>
          <w:szCs w:val="24"/>
          <w:lang w:val="zh-CN"/>
        </w:rPr>
      </w:pPr>
    </w:p>
    <w:p>
      <w:pPr>
        <w:pStyle w:val="2"/>
        <w:rPr>
          <w:rFonts w:hint="eastAsia" w:hAnsi="黑体"/>
          <w:kern w:val="2"/>
          <w:sz w:val="44"/>
          <w:szCs w:val="24"/>
          <w:lang w:val="zh-CN"/>
        </w:rPr>
      </w:pPr>
    </w:p>
    <w:p>
      <w:pPr>
        <w:rPr>
          <w:rFonts w:hint="eastAsia" w:ascii="仿宋_GB2312" w:hAnsi="黑体" w:eastAsia="仿宋_GB2312"/>
          <w:kern w:val="2"/>
          <w:sz w:val="44"/>
          <w:szCs w:val="24"/>
          <w:lang w:val="zh-CN"/>
        </w:rPr>
      </w:pPr>
    </w:p>
    <w:p>
      <w:pPr>
        <w:pStyle w:val="2"/>
        <w:rPr>
          <w:rFonts w:hint="eastAsia" w:hAnsi="黑体"/>
          <w:kern w:val="2"/>
          <w:sz w:val="44"/>
          <w:szCs w:val="24"/>
          <w:lang w:val="zh-CN"/>
        </w:rPr>
      </w:pPr>
    </w:p>
    <w:p>
      <w:pPr>
        <w:pStyle w:val="2"/>
        <w:ind w:leftChars="0" w:firstLine="0" w:firstLineChars="0"/>
        <w:rPr>
          <w:rFonts w:hint="eastAsia"/>
          <w:sz w:val="24"/>
          <w:szCs w:val="24"/>
          <w:lang w:val="zh-CN"/>
        </w:rPr>
      </w:pPr>
    </w:p>
    <w:p>
      <w:pPr>
        <w:pStyle w:val="4"/>
        <w:keepNext/>
        <w:keepLines/>
        <w:spacing w:before="340" w:after="330" w:line="576" w:lineRule="auto"/>
        <w:jc w:val="center"/>
        <w:rPr>
          <w:rFonts w:hint="default" w:ascii="黑体" w:hAnsi="黑体" w:eastAsia="黑体"/>
          <w:b/>
          <w:kern w:val="44"/>
          <w:sz w:val="44"/>
          <w:szCs w:val="24"/>
          <w:lang w:val="zh-CN"/>
        </w:rPr>
      </w:pPr>
      <w:r>
        <w:rPr>
          <w:rFonts w:hint="default" w:ascii="黑体" w:hAnsi="黑体" w:eastAsia="黑体"/>
          <w:kern w:val="44"/>
          <w:sz w:val="44"/>
          <w:szCs w:val="24"/>
          <w:lang w:val="zh-CN"/>
        </w:rPr>
        <w:t>第一部分 部门概况</w:t>
      </w:r>
    </w:p>
    <w:p>
      <w:pPr>
        <w:pStyle w:val="5"/>
        <w:keepNext/>
        <w:keepLines/>
        <w:spacing w:line="576" w:lineRule="exact"/>
        <w:ind w:firstLine="641"/>
        <w:jc w:val="both"/>
        <w:rPr>
          <w:rFonts w:hint="default" w:ascii="仿宋" w:hAnsi="仿宋" w:eastAsia="仿宋"/>
          <w:kern w:val="2"/>
          <w:sz w:val="32"/>
          <w:szCs w:val="24"/>
          <w:lang w:val="zh-CN"/>
        </w:rPr>
      </w:pPr>
      <w:r>
        <w:rPr>
          <w:rFonts w:hint="default" w:ascii="黑体" w:hAnsi="黑体" w:eastAsia="黑体"/>
          <w:color w:val="000000"/>
          <w:kern w:val="2"/>
          <w:sz w:val="32"/>
          <w:szCs w:val="24"/>
          <w:lang w:val="zh-CN"/>
        </w:rPr>
        <w:t>一、基</w:t>
      </w:r>
      <w:r>
        <w:rPr>
          <w:rFonts w:hint="default" w:ascii="黑体" w:hAnsi="黑体" w:eastAsia="黑体"/>
          <w:kern w:val="2"/>
          <w:sz w:val="32"/>
          <w:szCs w:val="24"/>
          <w:lang w:val="zh-CN"/>
        </w:rPr>
        <w:t>本职能及主要工作</w:t>
      </w:r>
    </w:p>
    <w:p>
      <w:pPr>
        <w:keepNext/>
        <w:keepLines/>
        <w:spacing w:line="576" w:lineRule="exact"/>
        <w:ind w:firstLine="641"/>
        <w:jc w:val="both"/>
        <w:rPr>
          <w:rFonts w:hint="eastAsia" w:ascii="方正楷体_GBK" w:hAnsi="方正楷体_GBK" w:eastAsia="方正楷体_GBK"/>
          <w:color w:val="000000"/>
          <w:kern w:val="2"/>
          <w:sz w:val="32"/>
          <w:szCs w:val="24"/>
          <w:lang w:val="zh-CN"/>
        </w:rPr>
      </w:pPr>
      <w:r>
        <w:rPr>
          <w:rFonts w:hint="eastAsia" w:ascii="方正楷体_GBK" w:hAnsi="方正楷体_GBK" w:eastAsia="方正楷体_GBK"/>
          <w:color w:val="000000"/>
          <w:kern w:val="2"/>
          <w:sz w:val="32"/>
          <w:szCs w:val="24"/>
          <w:lang w:val="zh-CN"/>
        </w:rPr>
        <w:t>（一）主要职能</w:t>
      </w:r>
    </w:p>
    <w:p>
      <w:pPr>
        <w:snapToGrid w:val="0"/>
        <w:spacing w:line="576" w:lineRule="exact"/>
        <w:ind w:firstLine="640" w:firstLineChars="200"/>
        <w:rPr>
          <w:rFonts w:hint="eastAsia" w:ascii="仿宋_GB2312" w:eastAsia="仿宋_GB2312"/>
          <w:sz w:val="32"/>
          <w:szCs w:val="24"/>
        </w:rPr>
      </w:pPr>
      <w:r>
        <w:rPr>
          <w:rFonts w:hint="eastAsia" w:ascii="仿宋_GB2312" w:eastAsia="仿宋_GB2312"/>
          <w:sz w:val="32"/>
          <w:szCs w:val="24"/>
        </w:rPr>
        <w:t>中共雅安市纪律检查委员会与雅安市监察委员会合署办公，实行一套工作机构、两个机关名称，履行党的纪律检查和国家监察两项职能，在中共雅安市委和中共四川省纪委省监察委员会双重领导下开展工作。</w:t>
      </w:r>
    </w:p>
    <w:p>
      <w:pPr>
        <w:keepNext/>
        <w:keepLines/>
        <w:spacing w:line="576" w:lineRule="exact"/>
        <w:ind w:firstLine="515" w:firstLineChars="161"/>
        <w:jc w:val="both"/>
        <w:rPr>
          <w:rFonts w:hint="eastAsia" w:ascii="方正楷体_GBK" w:hAnsi="方正楷体_GBK" w:eastAsia="方正楷体_GBK"/>
          <w:color w:val="000000"/>
          <w:kern w:val="2"/>
          <w:sz w:val="32"/>
          <w:szCs w:val="24"/>
          <w:lang w:val="zh-CN"/>
        </w:rPr>
      </w:pPr>
      <w:r>
        <w:rPr>
          <w:rFonts w:hint="eastAsia" w:ascii="方正楷体_GBK" w:hAnsi="方正楷体_GBK" w:eastAsia="方正楷体_GBK"/>
          <w:color w:val="000000"/>
          <w:kern w:val="2"/>
          <w:sz w:val="32"/>
          <w:szCs w:val="24"/>
          <w:lang w:val="zh-CN"/>
        </w:rPr>
        <w:t>（二）2022年重点工作完成情况</w:t>
      </w:r>
    </w:p>
    <w:p>
      <w:pPr>
        <w:snapToGrid w:val="0"/>
        <w:spacing w:line="576" w:lineRule="exact"/>
        <w:ind w:firstLine="643" w:firstLineChars="200"/>
        <w:rPr>
          <w:rFonts w:hint="eastAsia" w:ascii="仿宋_GB2312" w:eastAsia="仿宋_GB2312"/>
          <w:sz w:val="32"/>
          <w:szCs w:val="24"/>
        </w:rPr>
      </w:pPr>
      <w:r>
        <w:rPr>
          <w:rFonts w:hint="eastAsia" w:ascii="仿宋_GB2312" w:hAnsi="黑体" w:eastAsia="仿宋_GB2312"/>
          <w:b/>
          <w:sz w:val="32"/>
          <w:szCs w:val="24"/>
        </w:rPr>
        <w:t>一是实化具化政治监督，拥护“两个确立”、做到“两个维护”更加坚定。</w:t>
      </w:r>
      <w:r>
        <w:rPr>
          <w:rFonts w:hint="eastAsia" w:ascii="仿宋_GB2312" w:hAnsi="黑体" w:eastAsia="仿宋_GB2312"/>
          <w:sz w:val="32"/>
          <w:szCs w:val="24"/>
        </w:rPr>
        <w:t>市纪委实化具化政治监督，</w:t>
      </w:r>
      <w:r>
        <w:rPr>
          <w:rFonts w:hint="eastAsia" w:ascii="仿宋_GB2312" w:eastAsia="仿宋_GB2312"/>
          <w:sz w:val="32"/>
          <w:szCs w:val="24"/>
        </w:rPr>
        <w:t>聚焦贯彻落实习近平总书记对四川工作、雅安发展系列重要指示批示精神，特别是对“6·1”“9·5”两次地震重要指示精神，深入推进“抗震救灾·阳光同行”专项监督。围绕贯彻落实党的二十大精神，统筹疫情防控和经济社会发展，成渝地区双城经济圈、川藏铁路、大熊猫国家公园、雅州新区建设等部署安排强化监督，制定《关于服务保障川藏铁路（雅安段）项目建设的若干措施》《服务保障雅州新区建设十条措施》，开展“纪委书记巡铁路”走访调研，跟进清单化监督、专项检查，严明政治纪律和政治规矩，严肃问责履职不力的党组织和党员干部。</w:t>
      </w:r>
    </w:p>
    <w:p>
      <w:pPr>
        <w:snapToGrid w:val="0"/>
        <w:spacing w:line="576" w:lineRule="exact"/>
        <w:ind w:firstLine="643" w:firstLineChars="200"/>
        <w:rPr>
          <w:rFonts w:hint="eastAsia" w:ascii="仿宋_GB2312" w:eastAsia="仿宋_GB2312"/>
          <w:sz w:val="32"/>
          <w:szCs w:val="24"/>
        </w:rPr>
      </w:pPr>
      <w:r>
        <w:rPr>
          <w:rFonts w:hint="eastAsia" w:ascii="仿宋_GB2312" w:hAnsi="黑体" w:eastAsia="仿宋_GB2312"/>
          <w:b/>
          <w:sz w:val="32"/>
          <w:szCs w:val="24"/>
        </w:rPr>
        <w:t>二是坚决打好反腐败斗争攻坚战持久战，“三不腐”一体推进治理效能更加凸显</w:t>
      </w:r>
      <w:r>
        <w:rPr>
          <w:rFonts w:hint="eastAsia" w:ascii="仿宋_GB2312" w:hAnsi="黑体" w:eastAsia="仿宋_GB2312"/>
          <w:sz w:val="32"/>
          <w:szCs w:val="24"/>
        </w:rPr>
        <w:t>。强化办案引领，</w:t>
      </w:r>
      <w:r>
        <w:rPr>
          <w:rFonts w:hint="eastAsia" w:ascii="仿宋_GB2312" w:eastAsia="仿宋_GB2312"/>
          <w:sz w:val="32"/>
          <w:szCs w:val="24"/>
        </w:rPr>
        <w:t>突出工程建设、教育、医疗卫生等重点领域和群众身边的腐败，全市纪检监察机关接收信访举报630件次，处置问题线索1944件、立案1121件、处分1224人，移送检察机关50人。严肃查办一批有影响、震慑强的领导干部严重违纪违法案件。坚持受贿行贿一起查。开展问题线索处置“回头看”，做实“一案三报告”，做强“雅州审理论坛”，开展精品案件评选，全流程优化管控案件质量。在粮食等领域开展重大典型案件以案促改，在国有企业领域开展以案促改“回头看”，持续推进招投标、教育等行业领域突出问题系统治理，推动整治行业乱象、堵塞监管漏洞。制作《迷失的初心</w:t>
      </w:r>
      <w:r>
        <w:rPr>
          <w:rFonts w:hint="eastAsia" w:ascii="方正书宋_GBK" w:hAnsi="方正书宋_GBK" w:eastAsia="方正书宋_GBK"/>
          <w:sz w:val="32"/>
          <w:szCs w:val="24"/>
        </w:rPr>
        <w:t>Ⅱ</w:t>
      </w:r>
      <w:r>
        <w:rPr>
          <w:rFonts w:hint="eastAsia" w:ascii="仿宋_GB2312" w:eastAsia="仿宋_GB2312"/>
          <w:sz w:val="32"/>
          <w:szCs w:val="24"/>
        </w:rPr>
        <w:t>》警示教育片，编发“一案一警示”《忏悔书》《忏悔实录》，以案为鉴、警示警醒。开通“清风雅雨”抖音号，用好“一网一微一抖音”媒体矩阵释纪释法。深入开展“好风传家”系统活动，分层分类开展“雅廉细胞”创建，以“细胞”廉洁促进社会“肌体”健康。</w:t>
      </w:r>
    </w:p>
    <w:p>
      <w:pPr>
        <w:snapToGrid w:val="0"/>
        <w:spacing w:line="576" w:lineRule="exact"/>
        <w:ind w:firstLine="643" w:firstLineChars="200"/>
        <w:rPr>
          <w:rFonts w:hint="eastAsia" w:ascii="仿宋_GB2312" w:eastAsia="仿宋_GB2312"/>
          <w:sz w:val="32"/>
          <w:szCs w:val="24"/>
        </w:rPr>
      </w:pPr>
      <w:r>
        <w:rPr>
          <w:rFonts w:hint="eastAsia" w:ascii="仿宋_GB2312" w:hAnsi="黑体" w:eastAsia="仿宋_GB2312"/>
          <w:b/>
          <w:sz w:val="32"/>
          <w:szCs w:val="24"/>
        </w:rPr>
        <w:t>三是鲜明大抓基层导向，人民群众获得感、幸福感、安全感更加充实。</w:t>
      </w:r>
      <w:r>
        <w:rPr>
          <w:rFonts w:hint="eastAsia" w:ascii="仿宋_GB2312" w:eastAsia="仿宋_GB2312"/>
          <w:sz w:val="32"/>
          <w:szCs w:val="24"/>
        </w:rPr>
        <w:t>坚持群众身边的问题依靠群众身边组织解决，全面推进强化组织、强化能力、强化主业、强化保障行动，乡镇（街道）纪（工）委全部实现“两专三兼”或“一专两兼”。全市建立29个“委领导+室组地”协作片区，4个县（区）试行纪检监察室和派驻机构集中办公，多种方式全面实现“乡案县审”。全年乡镇（街道）立案549件、处分596人。开展“信访大联动、办信促作风”专项行动，建立信访举报“直通车”，深挖信访背后的干部作风、廉洁问题。开展涉农资金项目“大盘点”专项监督，从简易审批村庄建设项目切入，对乡村两级涉农补助发放、资金使用、项目建设等逐一过筛，立案245件，处分253人。常态化推进“打伞破网”，查处涉黑涉恶腐败和“保护伞”问题35件，处分41人。持续开展“万名群众评作风”活动，收集群众急难愁盼问题3915个，市县联动制作播出“阳光问廉”节目12期，以评作风、改作风的实际成效赢得民心。</w:t>
      </w:r>
    </w:p>
    <w:p>
      <w:pPr>
        <w:snapToGrid w:val="0"/>
        <w:spacing w:line="576" w:lineRule="exact"/>
        <w:ind w:firstLine="643" w:firstLineChars="200"/>
        <w:rPr>
          <w:rFonts w:hint="eastAsia" w:ascii="仿宋_GB2312" w:eastAsia="仿宋_GB2312"/>
          <w:sz w:val="32"/>
          <w:szCs w:val="24"/>
        </w:rPr>
      </w:pPr>
      <w:r>
        <w:rPr>
          <w:rFonts w:hint="eastAsia" w:ascii="仿宋_GB2312" w:hAnsi="黑体" w:eastAsia="仿宋_GB2312"/>
          <w:b/>
          <w:sz w:val="32"/>
          <w:szCs w:val="24"/>
        </w:rPr>
        <w:t>四是大力纠“四风”树新风，作风建设成果更加巩固。</w:t>
      </w:r>
      <w:r>
        <w:rPr>
          <w:rFonts w:hint="eastAsia" w:ascii="仿宋_GB2312" w:hAnsi="黑体" w:eastAsia="仿宋_GB2312"/>
          <w:sz w:val="32"/>
          <w:szCs w:val="24"/>
        </w:rPr>
        <w:t>密切关注</w:t>
      </w:r>
      <w:r>
        <w:rPr>
          <w:rFonts w:hint="eastAsia" w:ascii="仿宋_GB2312" w:eastAsia="仿宋_GB2312"/>
          <w:sz w:val="32"/>
          <w:szCs w:val="24"/>
        </w:rPr>
        <w:t xml:space="preserve">“四风”苗头性、倾向性、隐蔽性问题，常态化开展正风肃纪督查，严肃纠治违规发放津贴补贴等行为，全市查处享乐主义、奢靡之风问题146个，处分148人，通报曝光88件132人次。全面深入开展借培训名义搞公款旅游问题排查整治。会同相关部门向全市党员干部和公职人员发出治理大操大办高价彩礼陈规陋习、拒绝“谢师宴”“升学宴”倡议书，督促开展综合治理，推动移风易俗、净化社会风气。持续整治形式主义为基层减负，下大力气纠治“一刀切”、“乱加码”、责任甩锅等不切实际、加重基层负担的突出问题，全市查处形式主义、官僚主义问题178个，处分125人。 </w:t>
      </w:r>
    </w:p>
    <w:p>
      <w:pPr>
        <w:snapToGrid w:val="0"/>
        <w:spacing w:line="576" w:lineRule="exact"/>
        <w:ind w:firstLine="643" w:firstLineChars="200"/>
        <w:rPr>
          <w:rFonts w:hint="eastAsia" w:ascii="仿宋_GB2312" w:eastAsia="仿宋_GB2312"/>
          <w:sz w:val="32"/>
          <w:szCs w:val="24"/>
        </w:rPr>
      </w:pPr>
      <w:r>
        <w:rPr>
          <w:rFonts w:hint="eastAsia" w:ascii="仿宋_GB2312" w:hAnsi="黑体" w:eastAsia="仿宋_GB2312"/>
          <w:b/>
          <w:sz w:val="32"/>
          <w:szCs w:val="24"/>
        </w:rPr>
        <w:t>五是持续深化政治巡察，利剑作用更加彰显。</w:t>
      </w:r>
      <w:r>
        <w:rPr>
          <w:rFonts w:hint="eastAsia" w:ascii="仿宋_GB2312" w:eastAsia="仿宋_GB2312"/>
          <w:sz w:val="32"/>
          <w:szCs w:val="24"/>
        </w:rPr>
        <w:t xml:space="preserve">完成五届市委第一轮、第二轮巡察，同步对2个县级部门开展提级巡察。组织全市8个县（区）开展全覆盖交叉巡察。运用“巡乡带村”“直接巡村”方式，完成对170个村（社区）巡察。在市县两级全面推行党委巡察办主任由同级纪委副书记担任，切实加强巡察机构领导力量。完善市委巡察机构常态化联系县（区）巡察工作机制，制发县（区）党委巡察工作领导小组组长履责提示，对新任县（区）委巡察办主任开展全覆盖任职谈话。制定巡察整改和成果运用“七张责任清单”，出台进一步加强巡察整改日常监督工作意见，持续深化市级领导干部督促整改工作机制，向相关市领导和市级部门（单位）发送巡察情况通报16件，推动开展营商环境、公务用车管理问题专项治理。 </w:t>
      </w:r>
    </w:p>
    <w:p>
      <w:pPr>
        <w:snapToGrid w:val="0"/>
        <w:spacing w:line="576" w:lineRule="exact"/>
        <w:ind w:firstLine="643" w:firstLineChars="200"/>
        <w:rPr>
          <w:rFonts w:hint="eastAsia" w:ascii="仿宋_GB2312" w:eastAsia="仿宋_GB2312"/>
          <w:sz w:val="32"/>
          <w:szCs w:val="24"/>
        </w:rPr>
      </w:pPr>
      <w:r>
        <w:rPr>
          <w:rFonts w:hint="eastAsia" w:ascii="仿宋_GB2312" w:hAnsi="黑体" w:eastAsia="仿宋_GB2312"/>
          <w:b/>
          <w:sz w:val="32"/>
          <w:szCs w:val="24"/>
        </w:rPr>
        <w:t>六是稳步推进改革创新，监督保障效能更加释放。</w:t>
      </w:r>
      <w:r>
        <w:rPr>
          <w:rFonts w:hint="eastAsia" w:ascii="仿宋_GB2312" w:hAnsi="黑体" w:eastAsia="仿宋_GB2312"/>
          <w:sz w:val="32"/>
          <w:szCs w:val="24"/>
        </w:rPr>
        <w:t>推动出台县</w:t>
      </w:r>
      <w:r>
        <w:rPr>
          <w:rFonts w:hint="eastAsia" w:ascii="仿宋_GB2312" w:eastAsia="仿宋_GB2312"/>
          <w:sz w:val="32"/>
          <w:szCs w:val="24"/>
        </w:rPr>
        <w:t>域和市级部门政治生态评价指标体系，精准、科学、有效开展政治生态分析研判。组织县（区）党政和市级部门“一把手”向市委常委会（扩大）会议、市纪委全会述责述廉，分层分类进行谈心谈话，全覆盖对新提拔市管领导干部开展廉政谈话。深入推进纪检监察体制改革，市纪委监委首次向7家市管企业和1家市属医院派驻纪检监察组，赋予监察权。全覆盖走访调研派驻（出）机构，督促认真履职、支持大胆履职。“室组”“组组”联动开展靶向扫描式监督，优化考核方式，充分调动派驻机构积极性、主动性，派驻（出）机构立案82件、处分87人。精准运用“四种形态”，推动出台受处分人员回访教育实施办法、受处理处分干部重新任用或者提拔使用办法，形成“五大关爱”制度体系，对党的十九大以来受处分的35名市管干部进行回访教育。健全完善问责机制，强化提级审核把关，以精准规范问责倒逼责任落实，激励干部担当作为。</w:t>
      </w:r>
    </w:p>
    <w:p>
      <w:pPr>
        <w:snapToGrid w:val="0"/>
        <w:spacing w:line="576" w:lineRule="exact"/>
        <w:ind w:firstLine="643" w:firstLineChars="200"/>
        <w:rPr>
          <w:rFonts w:hint="eastAsia" w:ascii="仿宋_GB2312" w:eastAsia="仿宋_GB2312"/>
          <w:sz w:val="32"/>
          <w:szCs w:val="24"/>
        </w:rPr>
      </w:pPr>
      <w:r>
        <w:rPr>
          <w:rFonts w:hint="eastAsia" w:ascii="仿宋_GB2312" w:hAnsi="黑体" w:eastAsia="仿宋_GB2312"/>
          <w:b/>
          <w:sz w:val="32"/>
          <w:szCs w:val="24"/>
        </w:rPr>
        <w:t>七是坚持打铁必须自身硬，纪检监察铁军建设更加严实。</w:t>
      </w:r>
      <w:r>
        <w:rPr>
          <w:rFonts w:hint="eastAsia" w:ascii="仿宋_GB2312" w:hAnsi="黑体" w:eastAsia="仿宋_GB2312"/>
          <w:sz w:val="32"/>
          <w:szCs w:val="24"/>
        </w:rPr>
        <w:t>开展</w:t>
      </w:r>
      <w:r>
        <w:rPr>
          <w:rFonts w:hint="eastAsia" w:ascii="仿宋_GB2312" w:eastAsia="仿宋_GB2312"/>
          <w:sz w:val="32"/>
          <w:szCs w:val="24"/>
        </w:rPr>
        <w:t>“清廉雅安·纪检行动”品牌创建，提档升级一批、重点培塑一批、试点打造一批立得住、叫得响的特色亮点品牌。建立市县纪委监委班子成员联系民营企业、纪检监察干部联系群众制度，帮助解决困难问题450余个。分类实施“实战赋能·培训强基”专项计划，牵头组织开展全省纪检监察系统第二片区培训。推进干部系统内上挂下派制度化、跨系统交流常态化。评选表扬全市纪检监察系统先进集体19个、先进个人33名，3个集体、5名个人荣获全省纪检监察系统先进，市纪委监委作为全省</w:t>
      </w:r>
      <w:r>
        <w:rPr>
          <w:rFonts w:hint="eastAsia" w:ascii="仿宋_GB2312" w:hAnsi="宋体" w:eastAsia="仿宋_GB2312"/>
          <w:sz w:val="32"/>
          <w:szCs w:val="24"/>
        </w:rPr>
        <w:t>唯一</w:t>
      </w:r>
      <w:r>
        <w:rPr>
          <w:rFonts w:hint="eastAsia" w:ascii="仿宋_GB2312" w:eastAsia="仿宋_GB2312"/>
          <w:sz w:val="32"/>
          <w:szCs w:val="24"/>
        </w:rPr>
        <w:t>市（州）纪委监委被表彰为全国纪检监察系统先进集体。积极发挥特约监察员作用，市县两级监委首次向本级人大常委会报告专项工作，常态化开展“三述三评”，对芦山县、汉源县纪委监委开展内部督察，不断强化自我监督约束和外部监督制约。带头自我革命，立案处分纪检监察干部6人，通报10起违纪违法典型案例。</w:t>
      </w:r>
    </w:p>
    <w:p>
      <w:pPr>
        <w:pStyle w:val="5"/>
        <w:keepNext/>
        <w:keepLines/>
        <w:spacing w:line="576" w:lineRule="exact"/>
        <w:ind w:firstLine="640" w:firstLineChars="200"/>
        <w:jc w:val="both"/>
        <w:rPr>
          <w:rFonts w:hint="default" w:ascii="Cambria" w:hAnsi="Cambria" w:eastAsia="Times New Roman"/>
          <w:kern w:val="2"/>
          <w:sz w:val="32"/>
          <w:szCs w:val="24"/>
          <w:lang w:val="zh-CN"/>
        </w:rPr>
      </w:pPr>
      <w:r>
        <w:rPr>
          <w:rFonts w:hint="default" w:ascii="黑体" w:hAnsi="黑体" w:eastAsia="黑体"/>
          <w:color w:val="000000"/>
          <w:kern w:val="2"/>
          <w:sz w:val="32"/>
          <w:szCs w:val="24"/>
          <w:lang w:val="zh-CN"/>
        </w:rPr>
        <w:t>二、机</w:t>
      </w:r>
      <w:r>
        <w:rPr>
          <w:rFonts w:hint="default" w:ascii="黑体" w:hAnsi="黑体" w:eastAsia="黑体"/>
          <w:kern w:val="2"/>
          <w:sz w:val="32"/>
          <w:szCs w:val="24"/>
          <w:lang w:val="zh-CN"/>
        </w:rPr>
        <w:t>构设置</w:t>
      </w:r>
    </w:p>
    <w:p>
      <w:pPr>
        <w:snapToGrid w:val="0"/>
        <w:spacing w:line="576" w:lineRule="exact"/>
        <w:ind w:firstLine="640" w:firstLineChars="200"/>
        <w:rPr>
          <w:rFonts w:hint="eastAsia" w:ascii="仿宋_GB2312" w:hAnsi="Arial" w:eastAsia="仿宋_GB2312"/>
          <w:color w:val="000000"/>
          <w:sz w:val="32"/>
          <w:szCs w:val="24"/>
        </w:rPr>
      </w:pPr>
      <w:r>
        <w:rPr>
          <w:rFonts w:hint="eastAsia" w:ascii="仿宋_GB2312" w:hAnsi="Arial" w:eastAsia="仿宋_GB2312"/>
          <w:color w:val="000000"/>
          <w:sz w:val="32"/>
          <w:szCs w:val="24"/>
        </w:rPr>
        <w:t>中共雅安市纪委、雅安市监察委员会合署办公，统一核算，为一级预算单位，下属二级单位2个，其中：行政单位1个，参照公务员法管理的事业单位0个，其他事业单位1个。</w:t>
      </w:r>
    </w:p>
    <w:p>
      <w:pPr>
        <w:snapToGrid w:val="0"/>
        <w:spacing w:line="576" w:lineRule="exact"/>
        <w:ind w:firstLine="640" w:firstLineChars="200"/>
        <w:rPr>
          <w:rFonts w:hint="eastAsia" w:ascii="仿宋_GB2312" w:hAnsi="Arial" w:eastAsia="仿宋_GB2312"/>
          <w:color w:val="000000"/>
          <w:sz w:val="32"/>
          <w:szCs w:val="24"/>
        </w:rPr>
      </w:pPr>
      <w:r>
        <w:rPr>
          <w:rFonts w:hint="eastAsia" w:ascii="仿宋_GB2312" w:hAnsi="Arial" w:eastAsia="仿宋_GB2312"/>
          <w:color w:val="000000"/>
          <w:sz w:val="32"/>
          <w:szCs w:val="24"/>
        </w:rPr>
        <w:t>纳入雅安市纪委监委2022年度部门决算编制范围的二级单位包括：</w:t>
      </w:r>
    </w:p>
    <w:p>
      <w:pPr>
        <w:numPr>
          <w:ilvl w:val="0"/>
          <w:numId w:val="1"/>
        </w:numPr>
        <w:autoSpaceDE/>
        <w:autoSpaceDN/>
        <w:adjustRightInd/>
        <w:snapToGrid w:val="0"/>
        <w:spacing w:line="576" w:lineRule="exact"/>
        <w:jc w:val="both"/>
        <w:rPr>
          <w:rFonts w:hint="eastAsia" w:ascii="仿宋_GB2312" w:hAnsi="Arial" w:eastAsia="仿宋_GB2312"/>
          <w:color w:val="000000"/>
          <w:sz w:val="32"/>
          <w:szCs w:val="24"/>
        </w:rPr>
      </w:pPr>
      <w:r>
        <w:rPr>
          <w:rFonts w:hint="eastAsia" w:ascii="仿宋_GB2312" w:hAnsi="Arial" w:eastAsia="仿宋_GB2312"/>
          <w:color w:val="000000"/>
          <w:sz w:val="32"/>
          <w:szCs w:val="24"/>
        </w:rPr>
        <w:t>雅安市纪委监委机关（本级）</w:t>
      </w:r>
    </w:p>
    <w:p>
      <w:pPr>
        <w:pStyle w:val="4"/>
        <w:keepNext/>
        <w:keepLines/>
        <w:spacing w:before="340" w:after="330" w:line="576" w:lineRule="exact"/>
        <w:ind w:right="442"/>
        <w:jc w:val="center"/>
        <w:rPr>
          <w:rFonts w:hint="default" w:ascii="Times New Roman" w:eastAsia="Times New Roman"/>
          <w:b/>
          <w:kern w:val="44"/>
          <w:sz w:val="44"/>
          <w:szCs w:val="24"/>
          <w:lang w:val="zh-CN"/>
        </w:rPr>
      </w:pPr>
      <w:r>
        <w:rPr>
          <w:rFonts w:hint="default" w:ascii="仿宋" w:hAnsi="仿宋" w:eastAsia="仿宋"/>
          <w:color w:val="000000"/>
          <w:sz w:val="32"/>
          <w:szCs w:val="24"/>
        </w:rPr>
        <w:br w:type="page"/>
      </w:r>
      <w:r>
        <w:rPr>
          <w:rFonts w:hint="default" w:ascii="黑体" w:hAnsi="黑体" w:eastAsia="黑体"/>
          <w:color w:val="000000"/>
          <w:kern w:val="44"/>
          <w:sz w:val="44"/>
          <w:szCs w:val="24"/>
          <w:lang w:val="zh-CN"/>
        </w:rPr>
        <w:t>第二部分</w:t>
      </w:r>
      <w:r>
        <w:rPr>
          <w:rFonts w:hint="default" w:ascii="黑体" w:hAnsi="黑体" w:eastAsia="黑体"/>
          <w:b/>
          <w:color w:val="000000"/>
          <w:kern w:val="44"/>
          <w:sz w:val="44"/>
          <w:szCs w:val="24"/>
          <w:lang w:val="zh-CN"/>
        </w:rPr>
        <w:t xml:space="preserve"> </w:t>
      </w:r>
      <w:r>
        <w:rPr>
          <w:rFonts w:hint="default" w:ascii="黑体" w:hAnsi="黑体" w:eastAsia="黑体"/>
          <w:kern w:val="44"/>
          <w:sz w:val="44"/>
          <w:szCs w:val="24"/>
          <w:lang w:val="zh-CN"/>
        </w:rPr>
        <w:t>2022年度部门决算情况说明</w:t>
      </w:r>
    </w:p>
    <w:p>
      <w:pPr>
        <w:keepNext/>
        <w:keepLines/>
        <w:spacing w:line="576" w:lineRule="exact"/>
        <w:ind w:firstLine="640" w:firstLineChars="200"/>
        <w:jc w:val="both"/>
        <w:rPr>
          <w:rFonts w:hint="default" w:ascii="黑体" w:hAnsi="黑体" w:eastAsia="黑体"/>
          <w:kern w:val="2"/>
          <w:sz w:val="32"/>
          <w:szCs w:val="24"/>
          <w:lang w:val="zh-CN"/>
        </w:rPr>
      </w:pPr>
      <w:r>
        <w:rPr>
          <w:rFonts w:hint="default" w:ascii="黑体" w:hAnsi="黑体" w:eastAsia="黑体"/>
          <w:color w:val="000000"/>
          <w:kern w:val="2"/>
          <w:sz w:val="32"/>
          <w:szCs w:val="24"/>
          <w:lang w:val="zh-CN"/>
        </w:rPr>
        <w:t>一、收</w:t>
      </w:r>
      <w:r>
        <w:rPr>
          <w:rFonts w:hint="default" w:ascii="黑体" w:hAnsi="黑体" w:eastAsia="黑体"/>
          <w:kern w:val="2"/>
          <w:sz w:val="32"/>
          <w:szCs w:val="24"/>
          <w:lang w:val="zh-CN"/>
        </w:rPr>
        <w:t>入支出决算总体情况说明</w:t>
      </w:r>
    </w:p>
    <w:p>
      <w:pPr>
        <w:keepNext/>
        <w:keepLines/>
        <w:spacing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color w:val="000000"/>
          <w:kern w:val="2"/>
          <w:sz w:val="32"/>
          <w:szCs w:val="24"/>
          <w:lang w:val="zh-CN"/>
        </w:rPr>
        <w:t>2022年度收、</w:t>
      </w:r>
      <w:r>
        <w:rPr>
          <w:rFonts w:hint="eastAsia" w:ascii="仿宋_GB2312" w:hAnsi="仿宋_GB2312" w:eastAsia="仿宋_GB2312"/>
          <w:kern w:val="2"/>
          <w:sz w:val="32"/>
          <w:szCs w:val="24"/>
          <w:lang w:val="zh-CN"/>
        </w:rPr>
        <w:t>支总计均为</w:t>
      </w:r>
      <w:r>
        <w:rPr>
          <w:rFonts w:hint="eastAsia" w:ascii="仿宋_GB2312" w:hAnsi="仿宋_GB2312" w:eastAsia="仿宋_GB2312"/>
          <w:kern w:val="2"/>
          <w:sz w:val="32"/>
          <w:szCs w:val="24"/>
        </w:rPr>
        <w:t>6311.39</w:t>
      </w:r>
      <w:r>
        <w:rPr>
          <w:rFonts w:hint="eastAsia" w:ascii="仿宋_GB2312" w:hAnsi="仿宋_GB2312" w:eastAsia="仿宋_GB2312"/>
          <w:kern w:val="2"/>
          <w:sz w:val="32"/>
          <w:szCs w:val="24"/>
          <w:lang w:val="zh-CN"/>
        </w:rPr>
        <w:t>万元。与2021年相比，收、支总计各减少</w:t>
      </w:r>
      <w:r>
        <w:rPr>
          <w:rFonts w:hint="eastAsia" w:ascii="仿宋_GB2312" w:hAnsi="仿宋_GB2312" w:eastAsia="仿宋_GB2312"/>
          <w:kern w:val="2"/>
          <w:sz w:val="32"/>
          <w:szCs w:val="24"/>
        </w:rPr>
        <w:t>2054.96</w:t>
      </w:r>
      <w:r>
        <w:rPr>
          <w:rFonts w:hint="eastAsia" w:ascii="仿宋_GB2312" w:hAnsi="仿宋_GB2312" w:eastAsia="仿宋_GB2312"/>
          <w:kern w:val="2"/>
          <w:sz w:val="32"/>
          <w:szCs w:val="24"/>
          <w:lang w:val="zh-CN"/>
        </w:rPr>
        <w:t>万元，下降</w:t>
      </w:r>
      <w:r>
        <w:rPr>
          <w:rFonts w:hint="eastAsia" w:ascii="仿宋_GB2312" w:hAnsi="仿宋_GB2312" w:eastAsia="仿宋_GB2312"/>
          <w:kern w:val="2"/>
          <w:sz w:val="32"/>
          <w:szCs w:val="24"/>
        </w:rPr>
        <w:t>24.56</w:t>
      </w:r>
      <w:r>
        <w:rPr>
          <w:rFonts w:hint="eastAsia" w:ascii="仿宋_GB2312" w:hAnsi="仿宋_GB2312" w:eastAsia="仿宋_GB2312"/>
          <w:kern w:val="2"/>
          <w:sz w:val="32"/>
          <w:szCs w:val="24"/>
          <w:lang w:val="zh-CN"/>
        </w:rPr>
        <w:t>%。</w:t>
      </w:r>
      <w:r>
        <w:rPr>
          <w:rFonts w:hint="eastAsia" w:ascii="仿宋_GB2312" w:hAnsi="仿宋_GB2312" w:eastAsia="仿宋_GB2312"/>
          <w:color w:val="000000"/>
          <w:kern w:val="2"/>
          <w:sz w:val="32"/>
          <w:szCs w:val="24"/>
          <w:lang w:val="zh-CN"/>
        </w:rPr>
        <w:t>主要变动原因是</w:t>
      </w:r>
      <w:r>
        <w:rPr>
          <w:rFonts w:hint="eastAsia" w:ascii="仿宋_GB2312" w:hAnsi="仿宋_GB2312" w:eastAsia="仿宋_GB2312"/>
          <w:color w:val="000000"/>
          <w:kern w:val="2"/>
          <w:sz w:val="32"/>
          <w:szCs w:val="24"/>
        </w:rPr>
        <w:t>年初结转结余减少</w:t>
      </w:r>
      <w:r>
        <w:rPr>
          <w:rFonts w:hint="eastAsia" w:ascii="仿宋_GB2312" w:hAnsi="仿宋_GB2312" w:eastAsia="仿宋_GB2312"/>
          <w:color w:val="000000"/>
          <w:kern w:val="2"/>
          <w:sz w:val="32"/>
          <w:szCs w:val="24"/>
          <w:lang w:val="zh-CN"/>
        </w:rPr>
        <w:t>。</w:t>
      </w:r>
    </w:p>
    <w:p>
      <w:pPr>
        <w:keepNext/>
        <w:keepLines/>
        <w:spacing w:line="576" w:lineRule="exact"/>
        <w:ind w:firstLine="480" w:firstLineChars="200"/>
        <w:jc w:val="both"/>
        <w:rPr>
          <w:rFonts w:hint="eastAsia" w:ascii="Times New Roman" w:eastAsia="仿宋_GB2312"/>
          <w:sz w:val="24"/>
          <w:szCs w:val="24"/>
        </w:rPr>
      </w:pPr>
      <w:r>
        <w:rPr>
          <w:rFonts w:hint="default" w:ascii="Times New Roman"/>
          <w:sz w:val="24"/>
          <w:szCs w:val="24"/>
        </w:rPr>
        <w:drawing>
          <wp:anchor distT="0" distB="0" distL="114300" distR="114300" simplePos="0" relativeHeight="251659264" behindDoc="0" locked="0" layoutInCell="1" allowOverlap="1">
            <wp:simplePos x="0" y="0"/>
            <wp:positionH relativeFrom="column">
              <wp:posOffset>353695</wp:posOffset>
            </wp:positionH>
            <wp:positionV relativeFrom="paragraph">
              <wp:posOffset>179705</wp:posOffset>
            </wp:positionV>
            <wp:extent cx="4591050" cy="2762250"/>
            <wp:effectExtent l="0" t="0" r="6350" b="6350"/>
            <wp:wrapTopAndBottom/>
            <wp:docPr id="1" name="鍥捐〃 1"/>
            <wp:cNvGraphicFramePr/>
            <a:graphic xmlns:a="http://schemas.openxmlformats.org/drawingml/2006/main">
              <a:graphicData uri="http://schemas.openxmlformats.org/drawingml/2006/picture">
                <pic:pic xmlns:pic="http://schemas.openxmlformats.org/drawingml/2006/picture">
                  <pic:nvPicPr>
                    <pic:cNvPr id="1" name="鍥捐〃 1"/>
                    <pic:cNvPicPr/>
                  </pic:nvPicPr>
                  <pic:blipFill>
                    <a:blip r:embed="rId5"/>
                    <a:stretch>
                      <a:fillRect/>
                    </a:stretch>
                  </pic:blipFill>
                  <pic:spPr>
                    <a:xfrm>
                      <a:off x="0" y="0"/>
                      <a:ext cx="4591050" cy="2762250"/>
                    </a:xfrm>
                    <a:prstGeom prst="rect">
                      <a:avLst/>
                    </a:prstGeom>
                    <a:noFill/>
                    <a:ln>
                      <a:noFill/>
                    </a:ln>
                  </pic:spPr>
                </pic:pic>
              </a:graphicData>
            </a:graphic>
          </wp:anchor>
        </w:drawing>
      </w:r>
      <w:r>
        <w:rPr>
          <w:rFonts w:hint="eastAsia"/>
          <w:sz w:val="24"/>
          <w:szCs w:val="24"/>
        </w:rPr>
        <w:t xml:space="preserve"> </w:t>
      </w:r>
      <w:r>
        <w:rPr>
          <w:rFonts w:hint="eastAsia" w:ascii="仿宋_GB2312" w:hAnsi="仿宋_GB2312" w:eastAsia="仿宋_GB2312"/>
          <w:kern w:val="2"/>
          <w:sz w:val="32"/>
          <w:szCs w:val="24"/>
        </w:rPr>
        <w:t>（图1：收、支决算总计变动情况图）（柱状图）</w:t>
      </w:r>
    </w:p>
    <w:p>
      <w:pPr>
        <w:keepNext/>
        <w:keepLines/>
        <w:spacing w:line="576" w:lineRule="exact"/>
        <w:ind w:firstLine="480" w:firstLineChars="200"/>
        <w:jc w:val="both"/>
        <w:rPr>
          <w:rFonts w:hint="default" w:ascii="黑体" w:hAnsi="黑体" w:eastAsia="黑体"/>
          <w:kern w:val="2"/>
          <w:sz w:val="32"/>
          <w:szCs w:val="24"/>
          <w:lang w:val="zh-CN"/>
        </w:rPr>
      </w:pPr>
      <w:r>
        <w:rPr>
          <w:rFonts w:hint="eastAsia"/>
          <w:sz w:val="24"/>
          <w:szCs w:val="24"/>
        </w:rPr>
        <w:t xml:space="preserve"> </w:t>
      </w:r>
      <w:r>
        <w:rPr>
          <w:rFonts w:hint="default" w:ascii="黑体" w:hAnsi="黑体" w:eastAsia="黑体"/>
          <w:color w:val="000000"/>
          <w:kern w:val="2"/>
          <w:sz w:val="32"/>
          <w:szCs w:val="24"/>
          <w:lang w:val="zh-CN"/>
        </w:rPr>
        <w:t>二、收</w:t>
      </w:r>
      <w:r>
        <w:rPr>
          <w:rFonts w:hint="default" w:ascii="黑体" w:hAnsi="黑体" w:eastAsia="黑体"/>
          <w:kern w:val="2"/>
          <w:sz w:val="32"/>
          <w:szCs w:val="24"/>
          <w:lang w:val="zh-CN"/>
        </w:rPr>
        <w:t>入决算情况说明</w:t>
      </w:r>
    </w:p>
    <w:p>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2022年本年收入合计</w:t>
      </w:r>
      <w:r>
        <w:rPr>
          <w:rFonts w:hint="eastAsia" w:ascii="仿宋_GB2312" w:hAnsi="仿宋_GB2312" w:eastAsia="仿宋_GB2312"/>
          <w:color w:val="000000"/>
          <w:kern w:val="2"/>
          <w:sz w:val="32"/>
          <w:szCs w:val="24"/>
        </w:rPr>
        <w:t>5854.9</w:t>
      </w:r>
      <w:r>
        <w:rPr>
          <w:rFonts w:hint="eastAsia" w:ascii="仿宋_GB2312" w:hAnsi="仿宋_GB2312" w:eastAsia="仿宋_GB2312"/>
          <w:color w:val="000000"/>
          <w:kern w:val="2"/>
          <w:sz w:val="32"/>
          <w:szCs w:val="24"/>
          <w:lang w:val="zh-CN"/>
        </w:rPr>
        <w:t>万元，其中：一般公共预算财政拨款收入</w:t>
      </w:r>
      <w:r>
        <w:rPr>
          <w:rFonts w:hint="eastAsia" w:ascii="仿宋_GB2312" w:hAnsi="仿宋_GB2312" w:eastAsia="仿宋_GB2312"/>
          <w:color w:val="000000"/>
          <w:kern w:val="2"/>
          <w:sz w:val="32"/>
          <w:szCs w:val="24"/>
        </w:rPr>
        <w:t>5854.81</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rPr>
        <w:t>100</w:t>
      </w:r>
      <w:r>
        <w:rPr>
          <w:rFonts w:hint="eastAsia" w:ascii="仿宋_GB2312" w:hAnsi="仿宋_GB2312" w:eastAsia="仿宋_GB2312"/>
          <w:color w:val="000000"/>
          <w:kern w:val="2"/>
          <w:sz w:val="32"/>
          <w:szCs w:val="24"/>
          <w:lang w:val="zh-CN"/>
        </w:rPr>
        <w:t>%；其他收入</w:t>
      </w:r>
      <w:r>
        <w:rPr>
          <w:rFonts w:hint="eastAsia" w:ascii="仿宋_GB2312" w:hAnsi="仿宋_GB2312" w:eastAsia="仿宋_GB2312"/>
          <w:color w:val="000000"/>
          <w:kern w:val="2"/>
          <w:sz w:val="32"/>
          <w:szCs w:val="24"/>
        </w:rPr>
        <w:t>0.09</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w:t>
      </w:r>
    </w:p>
    <w:p>
      <w:pPr>
        <w:keepNext/>
        <w:keepLines/>
        <w:spacing w:line="576" w:lineRule="exact"/>
        <w:jc w:val="both"/>
        <w:rPr>
          <w:rFonts w:hint="eastAsia" w:ascii="仿宋_GB2312" w:hAnsi="仿宋_GB2312" w:eastAsia="仿宋_GB2312"/>
          <w:kern w:val="2"/>
          <w:sz w:val="32"/>
          <w:szCs w:val="24"/>
        </w:rPr>
      </w:pPr>
      <w:r>
        <w:rPr>
          <w:rFonts w:hint="default" w:ascii="Times New Roman"/>
          <w:sz w:val="24"/>
          <w:szCs w:val="24"/>
        </w:rPr>
        <w:drawing>
          <wp:anchor distT="0" distB="0" distL="114300" distR="114300" simplePos="0" relativeHeight="251660288" behindDoc="0" locked="0" layoutInCell="1" allowOverlap="1">
            <wp:simplePos x="0" y="0"/>
            <wp:positionH relativeFrom="column">
              <wp:posOffset>406400</wp:posOffset>
            </wp:positionH>
            <wp:positionV relativeFrom="paragraph">
              <wp:posOffset>183515</wp:posOffset>
            </wp:positionV>
            <wp:extent cx="4317365" cy="2569210"/>
            <wp:effectExtent l="0" t="0" r="635" b="8890"/>
            <wp:wrapTopAndBottom/>
            <wp:docPr id="2" name="鍥捐〃 1"/>
            <wp:cNvGraphicFramePr/>
            <a:graphic xmlns:a="http://schemas.openxmlformats.org/drawingml/2006/main">
              <a:graphicData uri="http://schemas.openxmlformats.org/drawingml/2006/picture">
                <pic:pic xmlns:pic="http://schemas.openxmlformats.org/drawingml/2006/picture">
                  <pic:nvPicPr>
                    <pic:cNvPr id="2" name="鍥捐〃 1"/>
                    <pic:cNvPicPr/>
                  </pic:nvPicPr>
                  <pic:blipFill>
                    <a:blip r:embed="rId6"/>
                    <a:stretch>
                      <a:fillRect/>
                    </a:stretch>
                  </pic:blipFill>
                  <pic:spPr>
                    <a:xfrm>
                      <a:off x="0" y="0"/>
                      <a:ext cx="4317365" cy="2569210"/>
                    </a:xfrm>
                    <a:prstGeom prst="rect">
                      <a:avLst/>
                    </a:prstGeom>
                    <a:noFill/>
                    <a:ln>
                      <a:noFill/>
                    </a:ln>
                  </pic:spPr>
                </pic:pic>
              </a:graphicData>
            </a:graphic>
          </wp:anchor>
        </w:drawing>
      </w:r>
      <w:r>
        <w:rPr>
          <w:rFonts w:hint="eastAsia"/>
          <w:sz w:val="24"/>
          <w:szCs w:val="24"/>
        </w:rPr>
        <w:t xml:space="preserve">    </w:t>
      </w:r>
      <w:r>
        <w:rPr>
          <w:rFonts w:hint="eastAsia" w:ascii="仿宋_GB2312" w:hAnsi="仿宋_GB2312" w:eastAsia="仿宋_GB2312"/>
          <w:kern w:val="2"/>
          <w:sz w:val="32"/>
          <w:szCs w:val="24"/>
        </w:rPr>
        <w:t>（图2：收入决算结构图）（饼状图）</w:t>
      </w:r>
    </w:p>
    <w:p>
      <w:pPr>
        <w:keepNext/>
        <w:keepLines/>
        <w:spacing w:line="576" w:lineRule="exact"/>
        <w:ind w:firstLine="640" w:firstLineChars="200"/>
        <w:jc w:val="both"/>
        <w:rPr>
          <w:rFonts w:hint="default" w:ascii="黑体" w:hAnsi="黑体" w:eastAsia="黑体"/>
          <w:kern w:val="2"/>
          <w:sz w:val="32"/>
          <w:szCs w:val="24"/>
          <w:lang w:val="zh-CN"/>
        </w:rPr>
      </w:pPr>
      <w:r>
        <w:rPr>
          <w:rFonts w:hint="default" w:ascii="黑体" w:hAnsi="黑体" w:eastAsia="黑体"/>
          <w:color w:val="000000"/>
          <w:kern w:val="2"/>
          <w:sz w:val="32"/>
          <w:szCs w:val="24"/>
          <w:lang w:val="zh-CN"/>
        </w:rPr>
        <w:t>三、支</w:t>
      </w:r>
      <w:r>
        <w:rPr>
          <w:rFonts w:hint="default" w:ascii="黑体" w:hAnsi="黑体" w:eastAsia="黑体"/>
          <w:kern w:val="2"/>
          <w:sz w:val="32"/>
          <w:szCs w:val="24"/>
          <w:lang w:val="zh-CN"/>
        </w:rPr>
        <w:t>出决算情况说明</w:t>
      </w:r>
    </w:p>
    <w:p>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2022年本年支出合计</w:t>
      </w:r>
      <w:r>
        <w:rPr>
          <w:rFonts w:hint="eastAsia" w:ascii="仿宋_GB2312" w:hAnsi="仿宋_GB2312" w:eastAsia="仿宋_GB2312"/>
          <w:color w:val="000000"/>
          <w:kern w:val="2"/>
          <w:sz w:val="32"/>
          <w:szCs w:val="24"/>
        </w:rPr>
        <w:t>6281.83</w:t>
      </w:r>
      <w:r>
        <w:rPr>
          <w:rFonts w:hint="eastAsia" w:ascii="仿宋_GB2312" w:hAnsi="仿宋_GB2312" w:eastAsia="仿宋_GB2312"/>
          <w:color w:val="000000"/>
          <w:kern w:val="2"/>
          <w:sz w:val="32"/>
          <w:szCs w:val="24"/>
          <w:lang w:val="zh-CN"/>
        </w:rPr>
        <w:t>万元，其中：基本支出</w:t>
      </w:r>
      <w:r>
        <w:rPr>
          <w:rFonts w:hint="eastAsia" w:ascii="仿宋_GB2312" w:hAnsi="仿宋_GB2312" w:eastAsia="仿宋_GB2312"/>
          <w:color w:val="000000"/>
          <w:kern w:val="2"/>
          <w:sz w:val="32"/>
          <w:szCs w:val="24"/>
        </w:rPr>
        <w:t>3737.15</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rPr>
        <w:t>59.49</w:t>
      </w:r>
      <w:r>
        <w:rPr>
          <w:rFonts w:hint="eastAsia" w:ascii="仿宋_GB2312" w:hAnsi="仿宋_GB2312" w:eastAsia="仿宋_GB2312"/>
          <w:color w:val="000000"/>
          <w:kern w:val="2"/>
          <w:sz w:val="32"/>
          <w:szCs w:val="24"/>
          <w:lang w:val="zh-CN"/>
        </w:rPr>
        <w:t>%；项目支出</w:t>
      </w:r>
      <w:r>
        <w:rPr>
          <w:rFonts w:hint="eastAsia" w:ascii="仿宋_GB2312" w:hAnsi="仿宋_GB2312" w:eastAsia="仿宋_GB2312"/>
          <w:color w:val="000000"/>
          <w:kern w:val="2"/>
          <w:sz w:val="32"/>
          <w:szCs w:val="24"/>
        </w:rPr>
        <w:t>2544.68</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rPr>
        <w:t>40.51</w:t>
      </w:r>
      <w:r>
        <w:rPr>
          <w:rFonts w:hint="eastAsia" w:ascii="仿宋_GB2312" w:hAnsi="仿宋_GB2312" w:eastAsia="仿宋_GB2312"/>
          <w:color w:val="000000"/>
          <w:kern w:val="2"/>
          <w:sz w:val="32"/>
          <w:szCs w:val="24"/>
          <w:lang w:val="zh-CN"/>
        </w:rPr>
        <w:t>%。</w:t>
      </w:r>
    </w:p>
    <w:p>
      <w:pPr>
        <w:keepNext/>
        <w:keepLines/>
        <w:spacing w:line="576" w:lineRule="exact"/>
        <w:ind w:firstLine="640"/>
        <w:jc w:val="both"/>
        <w:rPr>
          <w:rFonts w:hint="eastAsia" w:ascii="仿宋_GB2312" w:hAnsi="仿宋_GB2312" w:eastAsia="仿宋_GB2312"/>
          <w:kern w:val="2"/>
          <w:sz w:val="32"/>
          <w:szCs w:val="24"/>
        </w:rPr>
      </w:pPr>
      <w:r>
        <w:rPr>
          <w:rFonts w:hint="default" w:ascii="Times New Roman"/>
          <w:sz w:val="24"/>
          <w:szCs w:val="24"/>
        </w:rPr>
        <w:drawing>
          <wp:anchor distT="0" distB="0" distL="114300" distR="114300" simplePos="0" relativeHeight="251661312" behindDoc="0" locked="0" layoutInCell="1" allowOverlap="1">
            <wp:simplePos x="0" y="0"/>
            <wp:positionH relativeFrom="column">
              <wp:posOffset>673100</wp:posOffset>
            </wp:positionH>
            <wp:positionV relativeFrom="paragraph">
              <wp:posOffset>299720</wp:posOffset>
            </wp:positionV>
            <wp:extent cx="4527550" cy="2240915"/>
            <wp:effectExtent l="0" t="0" r="6350" b="6985"/>
            <wp:wrapTopAndBottom/>
            <wp:docPr id="3" name="鍥捐〃 1"/>
            <wp:cNvGraphicFramePr/>
            <a:graphic xmlns:a="http://schemas.openxmlformats.org/drawingml/2006/main">
              <a:graphicData uri="http://schemas.openxmlformats.org/drawingml/2006/picture">
                <pic:pic xmlns:pic="http://schemas.openxmlformats.org/drawingml/2006/picture">
                  <pic:nvPicPr>
                    <pic:cNvPr id="3" name="鍥捐〃 1"/>
                    <pic:cNvPicPr/>
                  </pic:nvPicPr>
                  <pic:blipFill>
                    <a:blip r:embed="rId7"/>
                    <a:stretch>
                      <a:fillRect/>
                    </a:stretch>
                  </pic:blipFill>
                  <pic:spPr>
                    <a:xfrm>
                      <a:off x="0" y="0"/>
                      <a:ext cx="4527550" cy="2240915"/>
                    </a:xfrm>
                    <a:prstGeom prst="rect">
                      <a:avLst/>
                    </a:prstGeom>
                    <a:noFill/>
                    <a:ln>
                      <a:noFill/>
                    </a:ln>
                  </pic:spPr>
                </pic:pic>
              </a:graphicData>
            </a:graphic>
          </wp:anchor>
        </w:drawing>
      </w:r>
      <w:r>
        <w:rPr>
          <w:rFonts w:hint="eastAsia" w:ascii="仿宋_GB2312" w:hAnsi="仿宋_GB2312" w:eastAsia="仿宋_GB2312"/>
          <w:kern w:val="2"/>
          <w:sz w:val="32"/>
          <w:szCs w:val="24"/>
        </w:rPr>
        <w:t>（图3：支出决算结构图）（饼状图）</w:t>
      </w:r>
    </w:p>
    <w:p>
      <w:pPr>
        <w:pStyle w:val="6"/>
        <w:rPr>
          <w:rFonts w:hint="eastAsia"/>
          <w:sz w:val="44"/>
          <w:szCs w:val="24"/>
          <w:lang w:val="zh-CN"/>
        </w:rPr>
      </w:pPr>
    </w:p>
    <w:p>
      <w:pPr>
        <w:keepNext/>
        <w:keepLines/>
        <w:spacing w:line="576" w:lineRule="exact"/>
        <w:ind w:firstLine="640"/>
        <w:jc w:val="both"/>
        <w:rPr>
          <w:rFonts w:hint="eastAsia" w:ascii="仿宋_GB2312" w:hAnsi="仿宋_GB2312" w:eastAsia="仿宋_GB2312"/>
          <w:b/>
          <w:i/>
          <w:color w:val="FF0000"/>
          <w:kern w:val="2"/>
          <w:sz w:val="32"/>
          <w:szCs w:val="24"/>
        </w:rPr>
      </w:pPr>
    </w:p>
    <w:p>
      <w:pPr>
        <w:keepNext/>
        <w:keepLines/>
        <w:spacing w:line="576" w:lineRule="exact"/>
        <w:ind w:firstLine="640"/>
        <w:jc w:val="both"/>
        <w:rPr>
          <w:rFonts w:hint="default" w:ascii="黑体" w:hAnsi="黑体" w:eastAsia="黑体"/>
          <w:kern w:val="2"/>
          <w:sz w:val="32"/>
          <w:szCs w:val="24"/>
          <w:lang w:val="zh-CN"/>
        </w:rPr>
      </w:pPr>
      <w:r>
        <w:rPr>
          <w:rFonts w:hint="default" w:ascii="黑体" w:hAnsi="黑体" w:eastAsia="黑体"/>
          <w:color w:val="000000"/>
          <w:kern w:val="2"/>
          <w:sz w:val="32"/>
          <w:szCs w:val="24"/>
          <w:lang w:val="zh-CN"/>
        </w:rPr>
        <w:t>四、财</w:t>
      </w:r>
      <w:r>
        <w:rPr>
          <w:rFonts w:hint="default" w:ascii="黑体" w:hAnsi="黑体" w:eastAsia="黑体"/>
          <w:kern w:val="2"/>
          <w:sz w:val="32"/>
          <w:szCs w:val="24"/>
          <w:lang w:val="zh-CN"/>
        </w:rPr>
        <w:t>政拨款收入支出决算总体情况说明</w:t>
      </w:r>
    </w:p>
    <w:p>
      <w:pPr>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2022年财政拨款收、支总计均为</w:t>
      </w:r>
      <w:r>
        <w:rPr>
          <w:rFonts w:hint="eastAsia" w:ascii="仿宋_GB2312" w:hAnsi="仿宋_GB2312" w:eastAsia="仿宋_GB2312"/>
          <w:color w:val="000000"/>
          <w:kern w:val="2"/>
          <w:sz w:val="32"/>
          <w:szCs w:val="24"/>
        </w:rPr>
        <w:t>6279.42</w:t>
      </w:r>
      <w:r>
        <w:rPr>
          <w:rFonts w:hint="eastAsia" w:ascii="仿宋_GB2312" w:hAnsi="仿宋_GB2312" w:eastAsia="仿宋_GB2312"/>
          <w:color w:val="000000"/>
          <w:kern w:val="2"/>
          <w:sz w:val="32"/>
          <w:szCs w:val="24"/>
          <w:lang w:val="zh-CN"/>
        </w:rPr>
        <w:t>万元。与2021年相比，财政拨款收、支总计各减少</w:t>
      </w:r>
      <w:r>
        <w:rPr>
          <w:rFonts w:hint="eastAsia" w:ascii="仿宋_GB2312" w:hAnsi="仿宋_GB2312" w:eastAsia="仿宋_GB2312"/>
          <w:color w:val="000000"/>
          <w:kern w:val="2"/>
          <w:sz w:val="32"/>
          <w:szCs w:val="24"/>
        </w:rPr>
        <w:t>2055.11</w:t>
      </w:r>
      <w:r>
        <w:rPr>
          <w:rFonts w:hint="eastAsia" w:ascii="仿宋_GB2312" w:hAnsi="仿宋_GB2312" w:eastAsia="仿宋_GB2312"/>
          <w:color w:val="000000"/>
          <w:kern w:val="2"/>
          <w:sz w:val="32"/>
          <w:szCs w:val="24"/>
          <w:lang w:val="zh-CN"/>
        </w:rPr>
        <w:t>万元，下降</w:t>
      </w:r>
      <w:r>
        <w:rPr>
          <w:rFonts w:hint="eastAsia" w:ascii="仿宋_GB2312" w:hAnsi="仿宋_GB2312" w:eastAsia="仿宋_GB2312"/>
          <w:color w:val="000000"/>
          <w:kern w:val="2"/>
          <w:sz w:val="32"/>
          <w:szCs w:val="24"/>
        </w:rPr>
        <w:t>24.66</w:t>
      </w:r>
      <w:r>
        <w:rPr>
          <w:rFonts w:hint="eastAsia" w:ascii="仿宋_GB2312" w:hAnsi="仿宋_GB2312" w:eastAsia="仿宋_GB2312"/>
          <w:color w:val="000000"/>
          <w:kern w:val="2"/>
          <w:sz w:val="32"/>
          <w:szCs w:val="24"/>
          <w:lang w:val="zh-CN"/>
        </w:rPr>
        <w:t>%。主要变动原因是年初结转结余减少。</w:t>
      </w:r>
    </w:p>
    <w:p>
      <w:pPr>
        <w:spacing w:line="576" w:lineRule="exact"/>
        <w:ind w:firstLine="640"/>
        <w:jc w:val="both"/>
        <w:rPr>
          <w:rFonts w:hint="eastAsia" w:ascii="仿宋_GB2312" w:hAnsi="仿宋_GB2312" w:eastAsia="仿宋_GB2312"/>
          <w:kern w:val="2"/>
          <w:sz w:val="32"/>
          <w:szCs w:val="24"/>
        </w:rPr>
      </w:pPr>
      <w:r>
        <w:rPr>
          <w:rFonts w:hint="default" w:ascii="Times New Roman"/>
          <w:sz w:val="24"/>
          <w:szCs w:val="24"/>
        </w:rPr>
        <w:drawing>
          <wp:anchor distT="0" distB="0" distL="114300" distR="114300" simplePos="0" relativeHeight="251662336" behindDoc="0" locked="0" layoutInCell="1" allowOverlap="1">
            <wp:simplePos x="0" y="0"/>
            <wp:positionH relativeFrom="column">
              <wp:posOffset>635635</wp:posOffset>
            </wp:positionH>
            <wp:positionV relativeFrom="paragraph">
              <wp:posOffset>193040</wp:posOffset>
            </wp:positionV>
            <wp:extent cx="4591050" cy="2762250"/>
            <wp:effectExtent l="0" t="0" r="6350" b="6350"/>
            <wp:wrapTopAndBottom/>
            <wp:docPr id="4" name="鍥捐〃 1"/>
            <wp:cNvGraphicFramePr/>
            <a:graphic xmlns:a="http://schemas.openxmlformats.org/drawingml/2006/main">
              <a:graphicData uri="http://schemas.openxmlformats.org/drawingml/2006/picture">
                <pic:pic xmlns:pic="http://schemas.openxmlformats.org/drawingml/2006/picture">
                  <pic:nvPicPr>
                    <pic:cNvPr id="4" name="鍥捐〃 1"/>
                    <pic:cNvPicPr/>
                  </pic:nvPicPr>
                  <pic:blipFill>
                    <a:blip r:embed="rId8"/>
                    <a:stretch>
                      <a:fillRect/>
                    </a:stretch>
                  </pic:blipFill>
                  <pic:spPr>
                    <a:xfrm>
                      <a:off x="0" y="0"/>
                      <a:ext cx="4591050" cy="2762250"/>
                    </a:xfrm>
                    <a:prstGeom prst="rect">
                      <a:avLst/>
                    </a:prstGeom>
                    <a:noFill/>
                    <a:ln>
                      <a:noFill/>
                    </a:ln>
                  </pic:spPr>
                </pic:pic>
              </a:graphicData>
            </a:graphic>
          </wp:anchor>
        </w:drawing>
      </w:r>
      <w:r>
        <w:rPr>
          <w:rFonts w:hint="eastAsia" w:ascii="仿宋_GB2312" w:hAnsi="仿宋_GB2312" w:eastAsia="仿宋_GB2312"/>
          <w:kern w:val="2"/>
          <w:sz w:val="32"/>
          <w:szCs w:val="24"/>
        </w:rPr>
        <w:t>（图4：财政拨款收、支决算总计变动情况）（柱状图）</w:t>
      </w:r>
    </w:p>
    <w:p>
      <w:pPr>
        <w:numPr>
          <w:ilvl w:val="0"/>
          <w:numId w:val="2"/>
        </w:numPr>
        <w:spacing w:line="576" w:lineRule="exact"/>
        <w:ind w:firstLine="643" w:firstLineChars="200"/>
        <w:jc w:val="both"/>
        <w:rPr>
          <w:rFonts w:hint="eastAsia" w:ascii="仿宋_GB2312" w:hAnsi="仿宋_GB2312" w:eastAsia="仿宋_GB2312"/>
          <w:b/>
          <w:color w:val="000000"/>
          <w:kern w:val="2"/>
          <w:sz w:val="32"/>
          <w:szCs w:val="24"/>
          <w:lang w:val="zh-CN"/>
        </w:rPr>
      </w:pPr>
      <w:r>
        <w:rPr>
          <w:rFonts w:hint="default" w:ascii="黑体" w:hAnsi="黑体" w:eastAsia="黑体"/>
          <w:b/>
          <w:color w:val="000000"/>
          <w:kern w:val="2"/>
          <w:sz w:val="32"/>
          <w:szCs w:val="24"/>
          <w:lang w:val="zh-CN"/>
        </w:rPr>
        <w:t>一</w:t>
      </w:r>
      <w:r>
        <w:rPr>
          <w:rFonts w:hint="default" w:ascii="黑体" w:hAnsi="黑体" w:eastAsia="黑体"/>
          <w:kern w:val="2"/>
          <w:sz w:val="32"/>
          <w:szCs w:val="24"/>
          <w:lang w:val="zh-CN"/>
        </w:rPr>
        <w:t>般公共预算财政拨款支出决算情况说明</w:t>
      </w:r>
    </w:p>
    <w:p>
      <w:pPr>
        <w:keepNext/>
        <w:keepLines/>
        <w:numPr>
          <w:ilvl w:val="0"/>
          <w:numId w:val="3"/>
        </w:numPr>
        <w:spacing w:line="576" w:lineRule="exact"/>
        <w:ind w:firstLine="640"/>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一般公共预算财政拨款支出决算总体情况</w:t>
      </w:r>
    </w:p>
    <w:p>
      <w:pPr>
        <w:keepNext/>
        <w:keepLines/>
        <w:numPr>
          <w:ilvl w:val="0"/>
          <w:numId w:val="0"/>
        </w:numPr>
        <w:spacing w:line="576" w:lineRule="exact"/>
        <w:ind w:firstLine="640" w:firstLineChars="20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2022年一般公共预算财政拨款支出</w:t>
      </w:r>
      <w:r>
        <w:rPr>
          <w:rFonts w:hint="eastAsia" w:ascii="仿宋_GB2312" w:hAnsi="仿宋_GB2312" w:eastAsia="仿宋_GB2312"/>
          <w:color w:val="000000"/>
          <w:kern w:val="2"/>
          <w:sz w:val="32"/>
          <w:szCs w:val="24"/>
        </w:rPr>
        <w:t>6279.42</w:t>
      </w:r>
      <w:r>
        <w:rPr>
          <w:rFonts w:hint="eastAsia" w:ascii="仿宋_GB2312" w:hAnsi="仿宋_GB2312" w:eastAsia="仿宋_GB2312"/>
          <w:color w:val="000000"/>
          <w:kern w:val="2"/>
          <w:sz w:val="32"/>
          <w:szCs w:val="24"/>
          <w:lang w:val="zh-CN"/>
        </w:rPr>
        <w:t>万元，占本年支出合计的</w:t>
      </w:r>
      <w:r>
        <w:rPr>
          <w:rFonts w:hint="eastAsia" w:ascii="仿宋_GB2312" w:hAnsi="仿宋_GB2312" w:eastAsia="仿宋_GB2312"/>
          <w:color w:val="000000"/>
          <w:kern w:val="2"/>
          <w:sz w:val="32"/>
          <w:szCs w:val="24"/>
        </w:rPr>
        <w:t>99.96</w:t>
      </w:r>
      <w:r>
        <w:rPr>
          <w:rFonts w:hint="eastAsia" w:ascii="仿宋_GB2312" w:hAnsi="仿宋_GB2312" w:eastAsia="仿宋_GB2312"/>
          <w:color w:val="000000"/>
          <w:kern w:val="2"/>
          <w:sz w:val="32"/>
          <w:szCs w:val="24"/>
          <w:lang w:val="zh-CN"/>
        </w:rPr>
        <w:t>%。与2021年相比，一般公共预算财政拨款支出减少</w:t>
      </w:r>
      <w:r>
        <w:rPr>
          <w:rFonts w:hint="eastAsia" w:ascii="仿宋_GB2312" w:hAnsi="仿宋_GB2312" w:eastAsia="仿宋_GB2312"/>
          <w:color w:val="000000"/>
          <w:kern w:val="2"/>
          <w:sz w:val="32"/>
          <w:szCs w:val="24"/>
        </w:rPr>
        <w:t>124.38</w:t>
      </w:r>
      <w:r>
        <w:rPr>
          <w:rFonts w:hint="eastAsia" w:ascii="仿宋_GB2312" w:hAnsi="仿宋_GB2312" w:eastAsia="仿宋_GB2312"/>
          <w:color w:val="000000"/>
          <w:kern w:val="2"/>
          <w:sz w:val="32"/>
          <w:szCs w:val="24"/>
          <w:lang w:val="zh-CN"/>
        </w:rPr>
        <w:t>万元，下降</w:t>
      </w:r>
      <w:r>
        <w:rPr>
          <w:rFonts w:hint="eastAsia" w:ascii="仿宋_GB2312" w:hAnsi="仿宋_GB2312" w:eastAsia="仿宋_GB2312"/>
          <w:color w:val="000000"/>
          <w:kern w:val="2"/>
          <w:sz w:val="32"/>
          <w:szCs w:val="24"/>
        </w:rPr>
        <w:t>1.94</w:t>
      </w:r>
      <w:r>
        <w:rPr>
          <w:rFonts w:hint="eastAsia" w:ascii="仿宋_GB2312" w:hAnsi="仿宋_GB2312" w:eastAsia="仿宋_GB2312"/>
          <w:color w:val="000000"/>
          <w:kern w:val="2"/>
          <w:sz w:val="32"/>
          <w:szCs w:val="24"/>
          <w:lang w:val="zh-CN"/>
        </w:rPr>
        <w:t>%。主要变动原因是厉行节约，严格控制支出。</w:t>
      </w:r>
    </w:p>
    <w:p>
      <w:pPr>
        <w:numPr>
          <w:ilvl w:val="0"/>
          <w:numId w:val="0"/>
        </w:numPr>
        <w:spacing w:line="576" w:lineRule="exact"/>
        <w:ind w:firstLine="643" w:firstLineChars="200"/>
        <w:jc w:val="both"/>
        <w:rPr>
          <w:rFonts w:hint="eastAsia" w:ascii="仿宋_GB2312" w:hAnsi="仿宋_GB2312" w:eastAsia="仿宋_GB2312"/>
          <w:b/>
          <w:color w:val="000000"/>
          <w:kern w:val="2"/>
          <w:sz w:val="32"/>
          <w:szCs w:val="24"/>
          <w:lang w:val="zh-CN"/>
        </w:rPr>
      </w:pPr>
    </w:p>
    <w:p>
      <w:pPr>
        <w:keepNext/>
        <w:keepLines/>
        <w:spacing w:line="576" w:lineRule="exact"/>
        <w:ind w:firstLine="640"/>
        <w:jc w:val="both"/>
        <w:rPr>
          <w:rFonts w:hint="eastAsia" w:ascii="仿宋_GB2312" w:hAnsi="仿宋_GB2312" w:eastAsia="仿宋_GB2312"/>
          <w:b/>
          <w:i/>
          <w:color w:val="FF0000"/>
          <w:kern w:val="2"/>
          <w:sz w:val="32"/>
          <w:szCs w:val="24"/>
        </w:rPr>
      </w:pPr>
    </w:p>
    <w:p>
      <w:pPr>
        <w:keepNext/>
        <w:keepLines/>
        <w:spacing w:line="576" w:lineRule="exact"/>
        <w:jc w:val="both"/>
        <w:rPr>
          <w:rFonts w:hint="eastAsia" w:ascii="仿宋_GB2312" w:hAnsi="仿宋_GB2312" w:eastAsia="仿宋_GB2312"/>
          <w:kern w:val="2"/>
          <w:sz w:val="32"/>
          <w:szCs w:val="24"/>
        </w:rPr>
      </w:pPr>
      <w:r>
        <w:rPr>
          <w:rFonts w:hint="default" w:ascii="Times New Roman"/>
          <w:sz w:val="24"/>
          <w:szCs w:val="24"/>
        </w:rPr>
        <w:drawing>
          <wp:anchor distT="0" distB="0" distL="114300" distR="114300" simplePos="0" relativeHeight="251663360" behindDoc="0" locked="0" layoutInCell="1" allowOverlap="1">
            <wp:simplePos x="0" y="0"/>
            <wp:positionH relativeFrom="column">
              <wp:posOffset>575945</wp:posOffset>
            </wp:positionH>
            <wp:positionV relativeFrom="page">
              <wp:posOffset>1290320</wp:posOffset>
            </wp:positionV>
            <wp:extent cx="4528820" cy="2724785"/>
            <wp:effectExtent l="0" t="0" r="5080" b="5715"/>
            <wp:wrapTopAndBottom/>
            <wp:docPr id="5" name="鍥剧墖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鍥剧墖 7"/>
                    <pic:cNvPicPr>
                      <a:picLocks noChangeAspect="1"/>
                    </pic:cNvPicPr>
                  </pic:nvPicPr>
                  <pic:blipFill>
                    <a:blip r:embed="rId9"/>
                    <a:stretch>
                      <a:fillRect/>
                    </a:stretch>
                  </pic:blipFill>
                  <pic:spPr>
                    <a:xfrm>
                      <a:off x="0" y="0"/>
                      <a:ext cx="4528820" cy="2724785"/>
                    </a:xfrm>
                    <a:prstGeom prst="rect">
                      <a:avLst/>
                    </a:prstGeom>
                    <a:noFill/>
                    <a:ln>
                      <a:noFill/>
                    </a:ln>
                  </pic:spPr>
                </pic:pic>
              </a:graphicData>
            </a:graphic>
          </wp:anchor>
        </w:drawing>
      </w:r>
      <w:r>
        <w:rPr>
          <w:rFonts w:hint="eastAsia" w:ascii="仿宋_GB2312" w:hAnsi="仿宋_GB2312" w:eastAsia="仿宋_GB2312"/>
          <w:kern w:val="2"/>
          <w:sz w:val="32"/>
          <w:szCs w:val="24"/>
        </w:rPr>
        <w:t>（图5：一般公共预算财政拨款支出决算变动情况）（柱状图）</w:t>
      </w:r>
    </w:p>
    <w:p>
      <w:pPr>
        <w:pStyle w:val="6"/>
        <w:rPr>
          <w:rFonts w:hint="eastAsia"/>
          <w:sz w:val="44"/>
          <w:szCs w:val="24"/>
        </w:rPr>
      </w:pPr>
    </w:p>
    <w:p>
      <w:pPr>
        <w:numPr>
          <w:ilvl w:val="0"/>
          <w:numId w:val="3"/>
        </w:numPr>
        <w:spacing w:line="576" w:lineRule="exact"/>
        <w:ind w:firstLine="640"/>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一般公共预算财政拨款支出决算结构情况</w:t>
      </w:r>
    </w:p>
    <w:p>
      <w:pPr>
        <w:numPr>
          <w:ilvl w:val="0"/>
          <w:numId w:val="0"/>
        </w:numPr>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lang w:val="zh-CN"/>
        </w:rPr>
        <w:t>2022年一般公共预算财政拨款支出</w:t>
      </w:r>
      <w:r>
        <w:rPr>
          <w:rFonts w:hint="eastAsia" w:ascii="仿宋_GB2312" w:hAnsi="仿宋_GB2312" w:eastAsia="仿宋_GB2312"/>
          <w:color w:val="000000"/>
          <w:kern w:val="2"/>
          <w:sz w:val="32"/>
          <w:szCs w:val="24"/>
        </w:rPr>
        <w:t>6279.42</w:t>
      </w:r>
      <w:r>
        <w:rPr>
          <w:rFonts w:hint="eastAsia" w:ascii="仿宋_GB2312" w:hAnsi="仿宋_GB2312" w:eastAsia="仿宋_GB2312"/>
          <w:color w:val="000000"/>
          <w:kern w:val="2"/>
          <w:sz w:val="32"/>
          <w:szCs w:val="24"/>
          <w:lang w:val="zh-CN"/>
        </w:rPr>
        <w:t>万元，主要用于以下方面: 一般公共服务支出</w:t>
      </w:r>
      <w:r>
        <w:rPr>
          <w:rFonts w:hint="eastAsia" w:ascii="仿宋_GB2312" w:hAnsi="仿宋_GB2312" w:eastAsia="仿宋_GB2312"/>
          <w:color w:val="000000"/>
          <w:kern w:val="2"/>
          <w:sz w:val="32"/>
          <w:szCs w:val="24"/>
        </w:rPr>
        <w:t>5342.5</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rPr>
        <w:t>85.08</w:t>
      </w:r>
      <w:r>
        <w:rPr>
          <w:rFonts w:hint="eastAsia" w:ascii="仿宋_GB2312" w:hAnsi="仿宋_GB2312" w:eastAsia="仿宋_GB2312"/>
          <w:color w:val="000000"/>
          <w:kern w:val="2"/>
          <w:sz w:val="32"/>
          <w:szCs w:val="24"/>
          <w:lang w:val="zh-CN"/>
        </w:rPr>
        <w:t>%；社会保障和就业支出</w:t>
      </w:r>
      <w:r>
        <w:rPr>
          <w:rFonts w:hint="eastAsia" w:ascii="仿宋_GB2312" w:hAnsi="仿宋_GB2312" w:eastAsia="仿宋_GB2312"/>
          <w:color w:val="000000"/>
          <w:kern w:val="2"/>
          <w:sz w:val="32"/>
          <w:szCs w:val="24"/>
        </w:rPr>
        <w:t>454.93</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rPr>
        <w:t>7.25</w:t>
      </w:r>
      <w:r>
        <w:rPr>
          <w:rFonts w:hint="eastAsia" w:ascii="仿宋_GB2312" w:hAnsi="仿宋_GB2312" w:eastAsia="仿宋_GB2312"/>
          <w:color w:val="000000"/>
          <w:kern w:val="2"/>
          <w:sz w:val="32"/>
          <w:szCs w:val="24"/>
          <w:lang w:val="zh-CN"/>
        </w:rPr>
        <w:t>%；卫生健康支出</w:t>
      </w:r>
      <w:r>
        <w:rPr>
          <w:rFonts w:hint="eastAsia" w:ascii="仿宋_GB2312" w:hAnsi="仿宋_GB2312" w:eastAsia="仿宋_GB2312"/>
          <w:color w:val="000000"/>
          <w:kern w:val="2"/>
          <w:sz w:val="32"/>
          <w:szCs w:val="24"/>
        </w:rPr>
        <w:t>211.22</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rPr>
        <w:t>3.36</w:t>
      </w:r>
      <w:r>
        <w:rPr>
          <w:rFonts w:hint="eastAsia" w:ascii="仿宋_GB2312" w:hAnsi="仿宋_GB2312" w:eastAsia="仿宋_GB2312"/>
          <w:color w:val="000000"/>
          <w:kern w:val="2"/>
          <w:sz w:val="32"/>
          <w:szCs w:val="24"/>
          <w:lang w:val="zh-CN"/>
        </w:rPr>
        <w:t>%；住房保障支出</w:t>
      </w:r>
      <w:r>
        <w:rPr>
          <w:rFonts w:hint="eastAsia" w:ascii="仿宋_GB2312" w:hAnsi="仿宋_GB2312" w:eastAsia="仿宋_GB2312"/>
          <w:color w:val="000000"/>
          <w:kern w:val="2"/>
          <w:sz w:val="32"/>
          <w:szCs w:val="24"/>
        </w:rPr>
        <w:t>270.77</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rPr>
        <w:t>4.31</w:t>
      </w:r>
      <w:r>
        <w:rPr>
          <w:rFonts w:hint="eastAsia"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rPr>
        <w:t xml:space="preserve"> </w:t>
      </w:r>
    </w:p>
    <w:p>
      <w:pPr>
        <w:keepNext/>
        <w:keepLines/>
        <w:spacing w:line="576" w:lineRule="exact"/>
        <w:ind w:firstLine="640"/>
        <w:jc w:val="both"/>
        <w:rPr>
          <w:rFonts w:hint="eastAsia" w:ascii="仿宋_GB2312" w:hAnsi="仿宋_GB2312" w:eastAsia="仿宋_GB2312"/>
          <w:b/>
          <w:i/>
          <w:color w:val="FF0000"/>
          <w:kern w:val="2"/>
          <w:sz w:val="32"/>
          <w:szCs w:val="24"/>
        </w:rPr>
      </w:pPr>
    </w:p>
    <w:p>
      <w:pPr>
        <w:keepNext/>
        <w:keepLines/>
        <w:spacing w:line="576" w:lineRule="exact"/>
        <w:ind w:firstLine="640"/>
        <w:jc w:val="both"/>
        <w:rPr>
          <w:rFonts w:hint="eastAsia" w:ascii="仿宋_GB2312" w:hAnsi="仿宋_GB2312" w:eastAsia="仿宋_GB2312"/>
          <w:b/>
          <w:i/>
          <w:color w:val="FF0000"/>
          <w:kern w:val="2"/>
          <w:sz w:val="32"/>
          <w:szCs w:val="24"/>
        </w:rPr>
      </w:pPr>
    </w:p>
    <w:p>
      <w:pPr>
        <w:keepNext/>
        <w:keepLines/>
        <w:spacing w:line="576" w:lineRule="exact"/>
        <w:ind w:firstLine="640"/>
        <w:jc w:val="both"/>
        <w:rPr>
          <w:rFonts w:hint="eastAsia" w:ascii="仿宋_GB2312" w:hAnsi="仿宋_GB2312" w:eastAsia="仿宋_GB2312"/>
          <w:b/>
          <w:i/>
          <w:color w:val="FF0000"/>
          <w:kern w:val="2"/>
          <w:sz w:val="32"/>
          <w:szCs w:val="24"/>
        </w:rPr>
      </w:pPr>
    </w:p>
    <w:p>
      <w:pPr>
        <w:keepNext/>
        <w:keepLines/>
        <w:spacing w:line="576" w:lineRule="exact"/>
        <w:ind w:firstLine="640"/>
        <w:jc w:val="both"/>
        <w:rPr>
          <w:rFonts w:hint="eastAsia" w:ascii="仿宋_GB2312" w:hAnsi="仿宋_GB2312" w:eastAsia="仿宋_GB2312"/>
          <w:b/>
          <w:i/>
          <w:color w:val="FF0000"/>
          <w:kern w:val="2"/>
          <w:sz w:val="32"/>
          <w:szCs w:val="24"/>
        </w:rPr>
      </w:pPr>
    </w:p>
    <w:p>
      <w:pPr>
        <w:keepNext/>
        <w:keepLines/>
        <w:spacing w:line="576" w:lineRule="exact"/>
        <w:ind w:firstLine="640"/>
        <w:jc w:val="both"/>
        <w:rPr>
          <w:rFonts w:hint="eastAsia" w:ascii="仿宋_GB2312" w:hAnsi="仿宋_GB2312" w:eastAsia="仿宋_GB2312"/>
          <w:b/>
          <w:i/>
          <w:color w:val="FF0000"/>
          <w:kern w:val="2"/>
          <w:sz w:val="32"/>
          <w:szCs w:val="24"/>
        </w:rPr>
      </w:pPr>
    </w:p>
    <w:tbl>
      <w:tblPr>
        <w:tblStyle w:val="11"/>
        <w:tblW w:w="1840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
        <w:gridCol w:w="8446"/>
        <w:gridCol w:w="1080"/>
        <w:gridCol w:w="1080"/>
        <w:gridCol w:w="108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0" w:type="dxa"/>
            <w:tcBorders>
              <w:top w:val="nil"/>
              <w:left w:val="nil"/>
              <w:bottom w:val="nil"/>
              <w:right w:val="nil"/>
              <w:tl2br w:val="nil"/>
              <w:tr2bl w:val="nil"/>
            </w:tcBorders>
            <w:noWrap/>
            <w:vAlign w:val="center"/>
          </w:tcPr>
          <w:p>
            <w:pPr>
              <w:rPr>
                <w:rFonts w:hint="eastAsia" w:hAnsi="宋体"/>
                <w:color w:val="000000"/>
                <w:sz w:val="24"/>
                <w:szCs w:val="24"/>
              </w:rPr>
            </w:pPr>
          </w:p>
        </w:tc>
        <w:tc>
          <w:tcPr>
            <w:tcW w:w="8446"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0" w:type="dxa"/>
            <w:tcBorders>
              <w:top w:val="nil"/>
              <w:left w:val="nil"/>
              <w:bottom w:val="nil"/>
              <w:right w:val="nil"/>
              <w:tl2br w:val="nil"/>
              <w:tr2bl w:val="nil"/>
            </w:tcBorders>
            <w:noWrap/>
            <w:vAlign w:val="center"/>
          </w:tcPr>
          <w:p>
            <w:pPr>
              <w:widowControl/>
              <w:textAlignment w:val="center"/>
              <w:rPr>
                <w:rFonts w:hint="eastAsia" w:hAnsi="宋体"/>
                <w:color w:val="000000"/>
                <w:sz w:val="24"/>
                <w:szCs w:val="24"/>
              </w:rPr>
            </w:pPr>
          </w:p>
        </w:tc>
        <w:tc>
          <w:tcPr>
            <w:tcW w:w="8446"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0" w:type="dxa"/>
            <w:tcBorders>
              <w:top w:val="nil"/>
              <w:left w:val="nil"/>
              <w:bottom w:val="nil"/>
              <w:right w:val="nil"/>
              <w:tl2br w:val="nil"/>
              <w:tr2bl w:val="nil"/>
            </w:tcBorders>
            <w:noWrap/>
            <w:vAlign w:val="center"/>
          </w:tcPr>
          <w:p>
            <w:pPr>
              <w:rPr>
                <w:rFonts w:hint="eastAsia" w:hAnsi="宋体"/>
                <w:color w:val="000000"/>
                <w:sz w:val="24"/>
                <w:szCs w:val="24"/>
              </w:rPr>
            </w:pPr>
          </w:p>
        </w:tc>
        <w:tc>
          <w:tcPr>
            <w:tcW w:w="8446"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0" w:type="dxa"/>
            <w:tcBorders>
              <w:top w:val="nil"/>
              <w:left w:val="nil"/>
              <w:bottom w:val="nil"/>
              <w:right w:val="nil"/>
              <w:tl2br w:val="nil"/>
              <w:tr2bl w:val="nil"/>
            </w:tcBorders>
            <w:noWrap/>
            <w:vAlign w:val="center"/>
          </w:tcPr>
          <w:p>
            <w:pPr>
              <w:rPr>
                <w:rFonts w:hint="eastAsia" w:hAnsi="宋体"/>
                <w:color w:val="000000"/>
                <w:sz w:val="24"/>
                <w:szCs w:val="24"/>
              </w:rPr>
            </w:pPr>
          </w:p>
        </w:tc>
        <w:tc>
          <w:tcPr>
            <w:tcW w:w="8446"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0" w:type="dxa"/>
            <w:tcBorders>
              <w:top w:val="nil"/>
              <w:left w:val="nil"/>
              <w:bottom w:val="nil"/>
              <w:right w:val="nil"/>
              <w:tl2br w:val="nil"/>
              <w:tr2bl w:val="nil"/>
            </w:tcBorders>
            <w:noWrap/>
            <w:vAlign w:val="center"/>
          </w:tcPr>
          <w:p>
            <w:pPr>
              <w:rPr>
                <w:rFonts w:hint="eastAsia" w:hAnsi="宋体"/>
                <w:color w:val="000000"/>
                <w:sz w:val="24"/>
                <w:szCs w:val="24"/>
              </w:rPr>
            </w:pPr>
          </w:p>
        </w:tc>
        <w:tc>
          <w:tcPr>
            <w:tcW w:w="8446" w:type="dxa"/>
            <w:tcBorders>
              <w:top w:val="nil"/>
              <w:left w:val="nil"/>
              <w:bottom w:val="nil"/>
              <w:right w:val="nil"/>
              <w:tl2br w:val="nil"/>
              <w:tr2bl w:val="nil"/>
            </w:tcBorders>
            <w:noWrap/>
            <w:vAlign w:val="center"/>
          </w:tcPr>
          <w:p>
            <w:pPr>
              <w:rPr>
                <w:rFonts w:hint="eastAsia" w:hAnsi="宋体"/>
                <w:color w:val="000000"/>
                <w:sz w:val="24"/>
                <w:szCs w:val="24"/>
              </w:rPr>
            </w:pPr>
            <w:r>
              <w:rPr>
                <w:rFonts w:hint="default" w:ascii="Times New Roman"/>
                <w:sz w:val="24"/>
                <w:szCs w:val="24"/>
              </w:rPr>
              <w:drawing>
                <wp:inline distT="0" distB="0" distL="114300" distR="114300">
                  <wp:extent cx="4667250" cy="3581400"/>
                  <wp:effectExtent l="0" t="0" r="6350" b="0"/>
                  <wp:docPr id="7" name="鍥剧墖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鍥剧墖 10"/>
                          <pic:cNvPicPr>
                            <a:picLocks noChangeAspect="1"/>
                          </pic:cNvPicPr>
                        </pic:nvPicPr>
                        <pic:blipFill>
                          <a:blip r:embed="rId10"/>
                          <a:stretch>
                            <a:fillRect/>
                          </a:stretch>
                        </pic:blipFill>
                        <pic:spPr>
                          <a:xfrm>
                            <a:off x="0" y="0"/>
                            <a:ext cx="4667250" cy="3581400"/>
                          </a:xfrm>
                          <a:prstGeom prst="rect">
                            <a:avLst/>
                          </a:prstGeom>
                          <a:noFill/>
                          <a:ln>
                            <a:noFill/>
                          </a:ln>
                        </pic:spPr>
                      </pic:pic>
                    </a:graphicData>
                  </a:graphic>
                </wp:inline>
              </w:drawing>
            </w: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0" w:type="dxa"/>
            <w:tcBorders>
              <w:top w:val="nil"/>
              <w:left w:val="nil"/>
              <w:bottom w:val="nil"/>
              <w:right w:val="nil"/>
              <w:tl2br w:val="nil"/>
              <w:tr2bl w:val="nil"/>
            </w:tcBorders>
            <w:noWrap/>
            <w:vAlign w:val="center"/>
          </w:tcPr>
          <w:p>
            <w:pPr>
              <w:rPr>
                <w:rFonts w:hint="eastAsia" w:hAnsi="宋体"/>
                <w:color w:val="000000"/>
                <w:sz w:val="24"/>
                <w:szCs w:val="24"/>
              </w:rPr>
            </w:pPr>
          </w:p>
        </w:tc>
        <w:tc>
          <w:tcPr>
            <w:tcW w:w="8446"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0" w:type="dxa"/>
            <w:tcBorders>
              <w:top w:val="nil"/>
              <w:left w:val="nil"/>
              <w:bottom w:val="nil"/>
              <w:right w:val="nil"/>
              <w:tl2br w:val="nil"/>
              <w:tr2bl w:val="nil"/>
            </w:tcBorders>
            <w:noWrap/>
            <w:vAlign w:val="center"/>
          </w:tcPr>
          <w:p>
            <w:pPr>
              <w:rPr>
                <w:rFonts w:hint="eastAsia" w:hAnsi="宋体"/>
                <w:color w:val="000000"/>
                <w:sz w:val="24"/>
                <w:szCs w:val="24"/>
              </w:rPr>
            </w:pPr>
            <w:r>
              <w:rPr>
                <w:rFonts w:hint="eastAsia" w:hAnsi="宋体"/>
                <w:color w:val="000000"/>
                <w:sz w:val="24"/>
                <w:szCs w:val="24"/>
              </w:rPr>
              <w:t xml:space="preserve"> </w:t>
            </w:r>
          </w:p>
        </w:tc>
        <w:tc>
          <w:tcPr>
            <w:tcW w:w="8446" w:type="dxa"/>
            <w:tcBorders>
              <w:top w:val="nil"/>
              <w:left w:val="nil"/>
              <w:bottom w:val="nil"/>
              <w:right w:val="nil"/>
              <w:tl2br w:val="nil"/>
              <w:tr2bl w:val="nil"/>
            </w:tcBorders>
            <w:noWrap/>
            <w:vAlign w:val="center"/>
          </w:tcPr>
          <w:p>
            <w:pPr>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（图6：一般公共预算财政拨款支出决算结构）（饼状图）</w:t>
            </w: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2" w:hRule="atLeast"/>
        </w:trPr>
        <w:tc>
          <w:tcPr>
            <w:tcW w:w="240" w:type="dxa"/>
            <w:tcBorders>
              <w:top w:val="nil"/>
              <w:left w:val="nil"/>
              <w:bottom w:val="nil"/>
              <w:right w:val="nil"/>
              <w:tl2br w:val="nil"/>
              <w:tr2bl w:val="nil"/>
            </w:tcBorders>
            <w:noWrap/>
            <w:vAlign w:val="center"/>
          </w:tcPr>
          <w:p>
            <w:pPr>
              <w:rPr>
                <w:rFonts w:hint="eastAsia" w:hAnsi="宋体"/>
                <w:color w:val="000000"/>
                <w:sz w:val="24"/>
                <w:szCs w:val="24"/>
              </w:rPr>
            </w:pPr>
          </w:p>
        </w:tc>
        <w:tc>
          <w:tcPr>
            <w:tcW w:w="8446" w:type="dxa"/>
            <w:tcBorders>
              <w:top w:val="nil"/>
              <w:left w:val="nil"/>
              <w:bottom w:val="nil"/>
              <w:right w:val="nil"/>
              <w:tl2br w:val="nil"/>
              <w:tr2bl w:val="nil"/>
            </w:tcBorders>
            <w:noWrap/>
            <w:vAlign w:val="center"/>
          </w:tcPr>
          <w:p>
            <w:pPr>
              <w:keepNext/>
              <w:keepLines/>
              <w:spacing w:line="576" w:lineRule="exact"/>
              <w:ind w:firstLine="643" w:firstLineChars="200"/>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（三）一般公共预算财政拨款支出决算具体情况</w:t>
            </w:r>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2022年一般公共预算支出预算数为</w:t>
            </w:r>
            <w:r>
              <w:rPr>
                <w:rFonts w:hint="eastAsia" w:ascii="仿宋_GB2312" w:hAnsi="仿宋_GB2312" w:eastAsia="仿宋_GB2312"/>
                <w:b/>
                <w:color w:val="000000"/>
                <w:kern w:val="2"/>
                <w:sz w:val="32"/>
                <w:szCs w:val="24"/>
              </w:rPr>
              <w:t>6279.42</w:t>
            </w:r>
            <w:r>
              <w:rPr>
                <w:rFonts w:hint="eastAsia" w:ascii="仿宋_GB2312" w:hAnsi="仿宋_GB2312" w:eastAsia="仿宋_GB2312"/>
                <w:b/>
                <w:color w:val="000000"/>
                <w:kern w:val="2"/>
                <w:sz w:val="32"/>
                <w:szCs w:val="24"/>
                <w:lang w:val="zh-CN"/>
              </w:rPr>
              <w:t>万元，支出决算数为</w:t>
            </w:r>
            <w:r>
              <w:rPr>
                <w:rFonts w:hint="eastAsia" w:ascii="仿宋_GB2312" w:hAnsi="仿宋_GB2312" w:eastAsia="仿宋_GB2312"/>
                <w:b/>
                <w:color w:val="000000"/>
                <w:kern w:val="2"/>
                <w:sz w:val="32"/>
                <w:szCs w:val="24"/>
              </w:rPr>
              <w:t>6279.42</w:t>
            </w:r>
            <w:r>
              <w:rPr>
                <w:rFonts w:hint="eastAsia" w:ascii="仿宋_GB2312" w:hAnsi="仿宋_GB2312" w:eastAsia="仿宋_GB2312"/>
                <w:b/>
                <w:color w:val="000000"/>
                <w:kern w:val="2"/>
                <w:sz w:val="32"/>
                <w:szCs w:val="24"/>
                <w:lang w:val="zh-CN"/>
              </w:rPr>
              <w:t>万元</w:t>
            </w:r>
            <w:r>
              <w:rPr>
                <w:rFonts w:hint="eastAsia" w:ascii="仿宋_GB2312" w:hAnsi="仿宋_GB2312" w:eastAsia="仿宋_GB2312"/>
                <w:color w:val="000000"/>
                <w:kern w:val="2"/>
                <w:sz w:val="32"/>
                <w:szCs w:val="24"/>
                <w:lang w:val="zh-CN"/>
              </w:rPr>
              <w:t>，</w:t>
            </w:r>
            <w:r>
              <w:rPr>
                <w:rFonts w:hint="eastAsia" w:ascii="仿宋_GB2312" w:hAnsi="仿宋_GB2312" w:eastAsia="仿宋_GB2312"/>
                <w:b/>
                <w:color w:val="000000"/>
                <w:kern w:val="2"/>
                <w:sz w:val="32"/>
                <w:szCs w:val="24"/>
                <w:lang w:val="zh-CN"/>
              </w:rPr>
              <w:t>完成预算数的</w:t>
            </w:r>
            <w:r>
              <w:rPr>
                <w:rFonts w:hint="eastAsia" w:ascii="仿宋_GB2312" w:hAnsi="仿宋_GB2312" w:eastAsia="仿宋_GB2312"/>
                <w:b/>
                <w:color w:val="000000"/>
                <w:kern w:val="2"/>
                <w:sz w:val="32"/>
                <w:szCs w:val="24"/>
              </w:rPr>
              <w:t>100</w:t>
            </w:r>
            <w:r>
              <w:rPr>
                <w:rFonts w:hint="eastAsia" w:ascii="仿宋_GB2312" w:hAnsi="仿宋_GB2312" w:eastAsia="仿宋_GB2312"/>
                <w:b/>
                <w:color w:val="000000"/>
                <w:kern w:val="2"/>
                <w:sz w:val="32"/>
                <w:szCs w:val="24"/>
                <w:lang w:val="zh-CN"/>
              </w:rPr>
              <w:t>%。其中：</w:t>
            </w:r>
          </w:p>
          <w:p>
            <w:pPr>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1.一般公共服务支出（类）纪检监察事务（款）行政运行（项）：</w:t>
            </w:r>
            <w:r>
              <w:rPr>
                <w:rFonts w:hint="eastAsia" w:ascii="仿宋_GB2312" w:hAnsi="仿宋_GB2312" w:eastAsia="仿宋_GB2312"/>
                <w:color w:val="000000"/>
                <w:kern w:val="2"/>
                <w:sz w:val="32"/>
                <w:szCs w:val="24"/>
                <w:lang w:val="zh-CN"/>
              </w:rPr>
              <w:t>预算为</w:t>
            </w:r>
            <w:r>
              <w:rPr>
                <w:rFonts w:hint="eastAsia" w:ascii="仿宋_GB2312" w:hAnsi="仿宋_GB2312" w:eastAsia="仿宋_GB2312"/>
                <w:color w:val="000000"/>
                <w:kern w:val="2"/>
                <w:sz w:val="32"/>
                <w:szCs w:val="24"/>
              </w:rPr>
              <w:t>2628.11万元，</w:t>
            </w:r>
            <w:r>
              <w:rPr>
                <w:rFonts w:hint="eastAsia" w:ascii="仿宋_GB2312" w:hAnsi="仿宋_GB2312" w:eastAsia="仿宋_GB2312"/>
                <w:color w:val="000000"/>
                <w:kern w:val="2"/>
                <w:sz w:val="32"/>
                <w:szCs w:val="24"/>
                <w:lang w:val="zh-CN"/>
              </w:rPr>
              <w:t>支出决算为</w:t>
            </w:r>
            <w:r>
              <w:rPr>
                <w:rFonts w:hint="eastAsia" w:ascii="仿宋_GB2312" w:hAnsi="仿宋_GB2312" w:eastAsia="仿宋_GB2312"/>
                <w:color w:val="000000"/>
                <w:kern w:val="2"/>
                <w:sz w:val="32"/>
                <w:szCs w:val="24"/>
              </w:rPr>
              <w:t>2628.11万元，完成</w:t>
            </w:r>
            <w:r>
              <w:rPr>
                <w:rFonts w:hint="eastAsia" w:ascii="仿宋_GB2312" w:hAnsi="仿宋_GB2312" w:eastAsia="仿宋_GB2312"/>
                <w:color w:val="000000"/>
                <w:kern w:val="2"/>
                <w:sz w:val="32"/>
                <w:szCs w:val="24"/>
                <w:lang w:val="zh-CN"/>
              </w:rPr>
              <w:t>预算的</w:t>
            </w:r>
            <w:r>
              <w:rPr>
                <w:rFonts w:hint="eastAsia" w:ascii="仿宋_GB2312" w:hAnsi="仿宋_GB2312" w:eastAsia="仿宋_GB2312"/>
                <w:color w:val="000000"/>
                <w:kern w:val="2"/>
                <w:sz w:val="32"/>
                <w:szCs w:val="24"/>
              </w:rPr>
              <w:t>100%</w:t>
            </w:r>
            <w:r>
              <w:rPr>
                <w:rFonts w:hint="eastAsia" w:ascii="仿宋_GB2312" w:hAnsi="仿宋_GB2312" w:eastAsia="仿宋_GB2312"/>
                <w:color w:val="000000"/>
                <w:kern w:val="2"/>
                <w:sz w:val="32"/>
                <w:szCs w:val="24"/>
                <w:lang w:val="zh-CN"/>
              </w:rPr>
              <w:t>。决算数与全年预算数持平。</w:t>
            </w:r>
          </w:p>
          <w:p>
            <w:pPr>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rPr>
              <w:t>2.一般公共服务支出（类）纪检监察事务（款）一般行政管理事务（项）</w:t>
            </w:r>
            <w:r>
              <w:rPr>
                <w:rFonts w:hint="eastAsia" w:ascii="仿宋_GB2312" w:hAnsi="仿宋_GB2312" w:eastAsia="仿宋_GB2312"/>
                <w:b/>
                <w:color w:val="000000"/>
                <w:kern w:val="2"/>
                <w:sz w:val="32"/>
                <w:szCs w:val="24"/>
                <w:lang w:val="zh-CN"/>
              </w:rPr>
              <w:t xml:space="preserve">: </w:t>
            </w:r>
            <w:r>
              <w:rPr>
                <w:rFonts w:hint="eastAsia" w:ascii="仿宋_GB2312" w:hAnsi="仿宋_GB2312" w:eastAsia="仿宋_GB2312"/>
                <w:color w:val="000000"/>
                <w:kern w:val="2"/>
                <w:sz w:val="32"/>
                <w:szCs w:val="24"/>
                <w:lang w:val="zh-CN"/>
              </w:rPr>
              <w:t>预算为2542.27万元，支出决算为2542.27万元，完成预算的100%。决算数与全年预算数持平。</w:t>
            </w:r>
          </w:p>
          <w:p>
            <w:pPr>
              <w:spacing w:line="576" w:lineRule="exact"/>
              <w:ind w:firstLine="643"/>
              <w:jc w:val="both"/>
              <w:rPr>
                <w:rFonts w:hint="eastAsia" w:ascii="仿宋_GB2312" w:hAnsi="仿宋_GB2312" w:eastAsia="仿宋_GB2312"/>
                <w:color w:val="000000"/>
                <w:kern w:val="2"/>
                <w:sz w:val="32"/>
                <w:szCs w:val="24"/>
              </w:rPr>
            </w:pPr>
          </w:p>
          <w:p>
            <w:pPr>
              <w:spacing w:line="576" w:lineRule="exact"/>
              <w:ind w:firstLine="643"/>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3.一般公共服务支出（类）纪检监察事务（款）事业运行（项）:</w:t>
            </w:r>
            <w:r>
              <w:rPr>
                <w:rFonts w:hint="eastAsia" w:ascii="仿宋_GB2312" w:hAnsi="仿宋_GB2312" w:eastAsia="仿宋_GB2312"/>
                <w:color w:val="000000"/>
                <w:kern w:val="2"/>
                <w:sz w:val="32"/>
                <w:szCs w:val="24"/>
              </w:rPr>
              <w:t xml:space="preserve">  预算为172.12万元，支出决算为172.12万元，完成预算的100%。决算数与全年预算数持平。</w:t>
            </w:r>
          </w:p>
          <w:p>
            <w:pPr>
              <w:spacing w:line="576" w:lineRule="exact"/>
              <w:ind w:firstLine="643"/>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 xml:space="preserve">4.社会保障和就业支出（类）行政事业单位养老支出（款）行政单位离退休（项）: </w:t>
            </w:r>
            <w:r>
              <w:rPr>
                <w:rFonts w:hint="eastAsia" w:ascii="仿宋_GB2312" w:hAnsi="仿宋_GB2312" w:eastAsia="仿宋_GB2312"/>
                <w:color w:val="000000"/>
                <w:kern w:val="2"/>
                <w:sz w:val="32"/>
                <w:szCs w:val="24"/>
              </w:rPr>
              <w:t>预算为40.05万元，支出决算为40.05万元，完成预算的100%。决算数与全年预算数持平。</w:t>
            </w:r>
          </w:p>
          <w:p>
            <w:pPr>
              <w:spacing w:line="576" w:lineRule="exact"/>
              <w:ind w:firstLine="643"/>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5</w:t>
            </w:r>
            <w:r>
              <w:rPr>
                <w:rFonts w:hint="eastAsia" w:ascii="仿宋_GB2312" w:hAnsi="仿宋_GB2312" w:eastAsia="仿宋_GB2312"/>
                <w:b/>
                <w:color w:val="000000"/>
                <w:kern w:val="2"/>
                <w:sz w:val="32"/>
                <w:szCs w:val="24"/>
              </w:rPr>
              <w:t>.社会保障和就业支出（类）行政事业单位养老支出（款）机关事业单位基本养老保险缴费支出（项）:</w:t>
            </w:r>
            <w:r>
              <w:rPr>
                <w:rFonts w:hint="eastAsia" w:ascii="仿宋_GB2312" w:hAnsi="仿宋_GB2312" w:eastAsia="仿宋_GB2312"/>
                <w:color w:val="000000"/>
                <w:kern w:val="2"/>
                <w:sz w:val="32"/>
                <w:szCs w:val="24"/>
              </w:rPr>
              <w:t>预算为264.08万元，支出决算为264.08万元，完成预算的100%。决算数与全年预算数持平。</w:t>
            </w:r>
          </w:p>
          <w:p>
            <w:pPr>
              <w:spacing w:line="576" w:lineRule="exact"/>
              <w:ind w:firstLine="643"/>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6. 社会保障和就业支出（类）行政事业单位养老支出（款）机关事业单位职业年金缴费支出（项）:</w:t>
            </w:r>
            <w:r>
              <w:rPr>
                <w:rFonts w:hint="eastAsia" w:ascii="仿宋_GB2312" w:hAnsi="仿宋_GB2312" w:eastAsia="仿宋_GB2312"/>
                <w:color w:val="000000"/>
                <w:kern w:val="2"/>
                <w:sz w:val="32"/>
                <w:szCs w:val="24"/>
              </w:rPr>
              <w:t>预算为143.7万元，支出决算为143.7万元，完成预算的100%。决算数与全年预算数持平。</w:t>
            </w:r>
          </w:p>
          <w:p>
            <w:pPr>
              <w:spacing w:line="576" w:lineRule="exact"/>
              <w:ind w:firstLine="643"/>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7. 社会保障和就业支出（类）其他社会保障和就业支出（款）其他社会保障和就业支出（项）:</w:t>
            </w:r>
            <w:r>
              <w:rPr>
                <w:rFonts w:hint="eastAsia" w:ascii="仿宋_GB2312" w:hAnsi="仿宋_GB2312" w:eastAsia="仿宋_GB2312"/>
                <w:color w:val="000000"/>
                <w:kern w:val="2"/>
                <w:sz w:val="32"/>
                <w:szCs w:val="24"/>
              </w:rPr>
              <w:t>预算为7.1万元，支出决算为7.1万元，完成预算的100%。决算数与全年预算数持平。</w:t>
            </w:r>
          </w:p>
          <w:p>
            <w:pPr>
              <w:spacing w:line="576" w:lineRule="exact"/>
              <w:ind w:firstLine="643"/>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8.卫生健康支出（类）行政事业单位医疗（款）行政单位医疗（项）:</w:t>
            </w:r>
            <w:r>
              <w:rPr>
                <w:rFonts w:hint="eastAsia" w:ascii="仿宋_GB2312" w:hAnsi="仿宋_GB2312" w:eastAsia="仿宋_GB2312"/>
                <w:color w:val="000000"/>
                <w:kern w:val="2"/>
                <w:sz w:val="32"/>
                <w:szCs w:val="24"/>
              </w:rPr>
              <w:t xml:space="preserve">预算为175.85万元，支出决算为175.85万元，完成预算的100%。决算数与全年预算数持平。 </w:t>
            </w:r>
          </w:p>
          <w:p>
            <w:pPr>
              <w:spacing w:line="576" w:lineRule="exact"/>
              <w:ind w:firstLine="643"/>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 xml:space="preserve">9.卫生健康支出（类）行政事业单位医疗（款）公务员医疗补助（项）: </w:t>
            </w:r>
            <w:r>
              <w:rPr>
                <w:rFonts w:hint="eastAsia" w:ascii="仿宋_GB2312" w:hAnsi="仿宋_GB2312" w:eastAsia="仿宋_GB2312"/>
                <w:color w:val="000000"/>
                <w:kern w:val="2"/>
                <w:sz w:val="32"/>
                <w:szCs w:val="24"/>
              </w:rPr>
              <w:t>预算为35.37万元，支出决算为35.37万元，完成预算的100%</w:t>
            </w:r>
            <w:bookmarkStart w:id="0" w:name="_Hlk51593609"/>
            <w:r>
              <w:rPr>
                <w:rFonts w:hint="eastAsia" w:ascii="仿宋_GB2312" w:hAnsi="仿宋_GB2312" w:eastAsia="仿宋_GB2312"/>
                <w:color w:val="000000"/>
                <w:kern w:val="2"/>
                <w:sz w:val="32"/>
                <w:szCs w:val="24"/>
              </w:rPr>
              <w:t>。决算数与全年预算数持平。</w:t>
            </w:r>
            <w:bookmarkEnd w:id="0"/>
          </w:p>
          <w:p>
            <w:pPr>
              <w:spacing w:line="576" w:lineRule="exact"/>
              <w:ind w:firstLine="643"/>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10.住房保障支出（类）住房改革支出（款）住房公积金（项）:</w:t>
            </w:r>
            <w:r>
              <w:rPr>
                <w:rFonts w:hint="eastAsia" w:ascii="仿宋_GB2312" w:hAnsi="仿宋_GB2312" w:eastAsia="仿宋_GB2312"/>
                <w:color w:val="000000"/>
                <w:kern w:val="2"/>
                <w:sz w:val="32"/>
                <w:szCs w:val="24"/>
              </w:rPr>
              <w:t xml:space="preserve"> 预算数为270.77万元，支出决算为270.77万元，完成预算的100%。决算数与全年预算数持平。</w:t>
            </w:r>
          </w:p>
          <w:p>
            <w:pPr>
              <w:keepNext/>
              <w:keepLines/>
              <w:tabs>
                <w:tab w:val="right" w:pos="8306"/>
              </w:tabs>
              <w:spacing w:line="576" w:lineRule="exact"/>
              <w:ind w:firstLine="640" w:firstLineChars="200"/>
              <w:jc w:val="both"/>
              <w:rPr>
                <w:rFonts w:hint="default" w:ascii="Cambria" w:hAnsi="Cambria" w:eastAsia="Times New Roman"/>
                <w:b/>
                <w:kern w:val="2"/>
                <w:sz w:val="32"/>
                <w:szCs w:val="24"/>
                <w:lang w:val="zh-CN"/>
              </w:rPr>
            </w:pPr>
            <w:r>
              <w:rPr>
                <w:rFonts w:hint="default" w:ascii="黑体" w:hAnsi="黑体" w:eastAsia="黑体"/>
                <w:color w:val="000000"/>
                <w:kern w:val="2"/>
                <w:sz w:val="32"/>
                <w:szCs w:val="24"/>
                <w:lang w:val="zh-CN"/>
              </w:rPr>
              <w:t>六</w:t>
            </w:r>
            <w:r>
              <w:rPr>
                <w:rFonts w:hint="default" w:ascii="黑体" w:hAnsi="黑体" w:eastAsia="黑体"/>
                <w:b/>
                <w:color w:val="000000"/>
                <w:kern w:val="2"/>
                <w:sz w:val="32"/>
                <w:szCs w:val="24"/>
                <w:lang w:val="zh-CN"/>
              </w:rPr>
              <w:t>、一</w:t>
            </w:r>
            <w:r>
              <w:rPr>
                <w:rFonts w:hint="default" w:ascii="黑体" w:hAnsi="黑体" w:eastAsia="黑体"/>
                <w:kern w:val="2"/>
                <w:sz w:val="32"/>
                <w:szCs w:val="24"/>
                <w:lang w:val="zh-CN"/>
              </w:rPr>
              <w:t>般公共预算财政拨款基本支出决算情况说明</w:t>
            </w:r>
            <w:r>
              <w:rPr>
                <w:rFonts w:hint="default" w:ascii="黑体" w:hAnsi="黑体" w:eastAsia="黑体"/>
                <w:kern w:val="2"/>
                <w:sz w:val="32"/>
                <w:szCs w:val="24"/>
                <w:lang w:val="zh-CN"/>
              </w:rPr>
              <w:tab/>
            </w:r>
          </w:p>
          <w:p>
            <w:pPr>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2022年一般公共预算财政拨款基本支出</w:t>
            </w:r>
            <w:r>
              <w:rPr>
                <w:rFonts w:hint="eastAsia" w:ascii="仿宋_GB2312" w:hAnsi="仿宋_GB2312" w:eastAsia="仿宋_GB2312"/>
                <w:color w:val="000000"/>
                <w:kern w:val="2"/>
                <w:sz w:val="32"/>
                <w:szCs w:val="24"/>
              </w:rPr>
              <w:t>3737.15</w:t>
            </w:r>
            <w:r>
              <w:rPr>
                <w:rFonts w:hint="eastAsia" w:ascii="仿宋_GB2312" w:hAnsi="仿宋_GB2312" w:eastAsia="仿宋_GB2312"/>
                <w:color w:val="000000"/>
                <w:kern w:val="2"/>
                <w:sz w:val="32"/>
                <w:szCs w:val="24"/>
                <w:lang w:val="zh-CN"/>
              </w:rPr>
              <w:t>万元，其中：</w:t>
            </w:r>
          </w:p>
          <w:p>
            <w:pPr>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人员经费</w:t>
            </w:r>
            <w:r>
              <w:rPr>
                <w:rFonts w:hint="eastAsia" w:ascii="仿宋_GB2312" w:hAnsi="仿宋_GB2312" w:eastAsia="仿宋_GB2312"/>
                <w:color w:val="000000"/>
                <w:kern w:val="2"/>
                <w:sz w:val="32"/>
                <w:szCs w:val="24"/>
              </w:rPr>
              <w:t>3273.51</w:t>
            </w:r>
            <w:r>
              <w:rPr>
                <w:rFonts w:hint="eastAsia" w:ascii="仿宋_GB2312" w:hAnsi="仿宋_GB2312" w:eastAsia="仿宋_GB2312"/>
                <w:color w:val="000000"/>
                <w:kern w:val="2"/>
                <w:sz w:val="32"/>
                <w:szCs w:val="24"/>
                <w:lang w:val="zh-CN"/>
              </w:rPr>
              <w:t>万元，主要包括：基本工资</w:t>
            </w:r>
            <w:r>
              <w:rPr>
                <w:rFonts w:hint="eastAsia" w:ascii="仿宋_GB2312" w:hAnsi="仿宋_GB2312" w:eastAsia="仿宋_GB2312"/>
                <w:color w:val="000000"/>
                <w:kern w:val="2"/>
                <w:sz w:val="32"/>
                <w:szCs w:val="24"/>
              </w:rPr>
              <w:t>772.38</w:t>
            </w:r>
            <w:r>
              <w:rPr>
                <w:rFonts w:hint="eastAsia" w:ascii="仿宋_GB2312" w:hAnsi="仿宋_GB2312" w:eastAsia="仿宋_GB2312"/>
                <w:color w:val="000000"/>
                <w:kern w:val="2"/>
                <w:sz w:val="32"/>
                <w:szCs w:val="24"/>
                <w:lang w:val="zh-CN"/>
              </w:rPr>
              <w:t>万元、津贴补贴</w:t>
            </w:r>
            <w:r>
              <w:rPr>
                <w:rFonts w:hint="eastAsia" w:ascii="仿宋_GB2312" w:hAnsi="仿宋_GB2312" w:eastAsia="仿宋_GB2312"/>
                <w:color w:val="000000"/>
                <w:kern w:val="2"/>
                <w:sz w:val="32"/>
                <w:szCs w:val="24"/>
              </w:rPr>
              <w:t>594.28</w:t>
            </w:r>
            <w:r>
              <w:rPr>
                <w:rFonts w:hint="eastAsia" w:ascii="仿宋_GB2312" w:hAnsi="仿宋_GB2312" w:eastAsia="仿宋_GB2312"/>
                <w:color w:val="000000"/>
                <w:kern w:val="2"/>
                <w:sz w:val="32"/>
                <w:szCs w:val="24"/>
                <w:lang w:val="zh-CN"/>
              </w:rPr>
              <w:t>万元、奖金</w:t>
            </w:r>
            <w:r>
              <w:rPr>
                <w:rFonts w:hint="eastAsia" w:ascii="仿宋_GB2312" w:hAnsi="仿宋_GB2312" w:eastAsia="仿宋_GB2312"/>
                <w:color w:val="000000"/>
                <w:kern w:val="2"/>
                <w:sz w:val="32"/>
                <w:szCs w:val="24"/>
              </w:rPr>
              <w:t>903.10</w:t>
            </w:r>
            <w:r>
              <w:rPr>
                <w:rFonts w:hint="eastAsia" w:ascii="仿宋_GB2312" w:hAnsi="仿宋_GB2312" w:eastAsia="仿宋_GB2312"/>
                <w:color w:val="000000"/>
                <w:kern w:val="2"/>
                <w:sz w:val="32"/>
                <w:szCs w:val="24"/>
                <w:lang w:val="zh-CN"/>
              </w:rPr>
              <w:t>万元、绩效工资</w:t>
            </w:r>
            <w:r>
              <w:rPr>
                <w:rFonts w:hint="eastAsia" w:ascii="仿宋_GB2312" w:hAnsi="仿宋_GB2312" w:eastAsia="仿宋_GB2312"/>
                <w:color w:val="000000"/>
                <w:kern w:val="2"/>
                <w:sz w:val="32"/>
                <w:szCs w:val="24"/>
              </w:rPr>
              <w:t>31</w:t>
            </w:r>
            <w:r>
              <w:rPr>
                <w:rFonts w:hint="eastAsia" w:ascii="仿宋_GB2312" w:hAnsi="仿宋_GB2312" w:eastAsia="仿宋_GB2312"/>
                <w:color w:val="000000"/>
                <w:kern w:val="2"/>
                <w:sz w:val="32"/>
                <w:szCs w:val="24"/>
                <w:lang w:val="zh-CN"/>
              </w:rPr>
              <w:t>万元、机关事业单位基本养老保险缴费</w:t>
            </w:r>
            <w:r>
              <w:rPr>
                <w:rFonts w:hint="eastAsia" w:ascii="仿宋_GB2312" w:hAnsi="仿宋_GB2312" w:eastAsia="仿宋_GB2312"/>
                <w:color w:val="000000"/>
                <w:kern w:val="2"/>
                <w:sz w:val="32"/>
                <w:szCs w:val="24"/>
              </w:rPr>
              <w:t>264.08</w:t>
            </w:r>
            <w:r>
              <w:rPr>
                <w:rFonts w:hint="eastAsia" w:ascii="仿宋_GB2312" w:hAnsi="仿宋_GB2312" w:eastAsia="仿宋_GB2312"/>
                <w:color w:val="000000"/>
                <w:kern w:val="2"/>
                <w:sz w:val="32"/>
                <w:szCs w:val="24"/>
                <w:lang w:val="zh-CN"/>
              </w:rPr>
              <w:t>万元、职业年金缴费</w:t>
            </w:r>
            <w:r>
              <w:rPr>
                <w:rFonts w:hint="eastAsia" w:ascii="仿宋_GB2312" w:hAnsi="仿宋_GB2312" w:eastAsia="仿宋_GB2312"/>
                <w:color w:val="000000"/>
                <w:kern w:val="2"/>
                <w:sz w:val="32"/>
                <w:szCs w:val="24"/>
              </w:rPr>
              <w:t>143.7</w:t>
            </w:r>
            <w:r>
              <w:rPr>
                <w:rFonts w:hint="eastAsia" w:ascii="仿宋_GB2312" w:hAnsi="仿宋_GB2312" w:eastAsia="仿宋_GB2312"/>
                <w:color w:val="000000"/>
                <w:kern w:val="2"/>
                <w:sz w:val="32"/>
                <w:szCs w:val="24"/>
                <w:lang w:val="zh-CN"/>
              </w:rPr>
              <w:t>万元、职工基本医疗保险缴费</w:t>
            </w:r>
            <w:r>
              <w:rPr>
                <w:rFonts w:hint="eastAsia" w:ascii="仿宋_GB2312" w:hAnsi="仿宋_GB2312" w:eastAsia="仿宋_GB2312"/>
                <w:color w:val="000000"/>
                <w:kern w:val="2"/>
                <w:sz w:val="32"/>
                <w:szCs w:val="24"/>
              </w:rPr>
              <w:t>175.85</w:t>
            </w:r>
            <w:r>
              <w:rPr>
                <w:rFonts w:hint="eastAsia" w:ascii="仿宋_GB2312" w:hAnsi="仿宋_GB2312" w:eastAsia="仿宋_GB2312"/>
                <w:color w:val="000000"/>
                <w:kern w:val="2"/>
                <w:sz w:val="32"/>
                <w:szCs w:val="24"/>
                <w:lang w:val="zh-CN"/>
              </w:rPr>
              <w:t>万元、公务员医疗补助缴费</w:t>
            </w:r>
            <w:r>
              <w:rPr>
                <w:rFonts w:hint="eastAsia" w:ascii="仿宋_GB2312" w:hAnsi="仿宋_GB2312" w:eastAsia="仿宋_GB2312"/>
                <w:color w:val="000000"/>
                <w:kern w:val="2"/>
                <w:sz w:val="32"/>
                <w:szCs w:val="24"/>
              </w:rPr>
              <w:t>35.37</w:t>
            </w:r>
            <w:r>
              <w:rPr>
                <w:rFonts w:hint="eastAsia" w:ascii="仿宋_GB2312" w:hAnsi="仿宋_GB2312" w:eastAsia="仿宋_GB2312"/>
                <w:color w:val="000000"/>
                <w:kern w:val="2"/>
                <w:sz w:val="32"/>
                <w:szCs w:val="24"/>
                <w:lang w:val="zh-CN"/>
              </w:rPr>
              <w:t>万元、其他社会保障缴费</w:t>
            </w:r>
            <w:r>
              <w:rPr>
                <w:rFonts w:hint="eastAsia" w:ascii="仿宋_GB2312" w:hAnsi="仿宋_GB2312" w:eastAsia="仿宋_GB2312"/>
                <w:color w:val="000000"/>
                <w:kern w:val="2"/>
                <w:sz w:val="32"/>
                <w:szCs w:val="24"/>
              </w:rPr>
              <w:t>7.1</w:t>
            </w:r>
            <w:r>
              <w:rPr>
                <w:rFonts w:hint="eastAsia" w:ascii="仿宋_GB2312" w:hAnsi="仿宋_GB2312" w:eastAsia="仿宋_GB2312"/>
                <w:color w:val="000000"/>
                <w:kern w:val="2"/>
                <w:sz w:val="32"/>
                <w:szCs w:val="24"/>
                <w:lang w:val="zh-CN"/>
              </w:rPr>
              <w:t>万元、住房公积金</w:t>
            </w:r>
            <w:r>
              <w:rPr>
                <w:rFonts w:hint="eastAsia" w:ascii="仿宋_GB2312" w:hAnsi="仿宋_GB2312" w:eastAsia="仿宋_GB2312"/>
                <w:color w:val="000000"/>
                <w:kern w:val="2"/>
                <w:sz w:val="32"/>
                <w:szCs w:val="24"/>
              </w:rPr>
              <w:t>270.77</w:t>
            </w:r>
            <w:r>
              <w:rPr>
                <w:rFonts w:hint="eastAsia" w:ascii="仿宋_GB2312" w:hAnsi="仿宋_GB2312" w:eastAsia="仿宋_GB2312"/>
                <w:color w:val="000000"/>
                <w:kern w:val="2"/>
                <w:sz w:val="32"/>
                <w:szCs w:val="24"/>
                <w:lang w:val="zh-CN"/>
              </w:rPr>
              <w:t>万元、其他工资福利支出</w:t>
            </w:r>
            <w:r>
              <w:rPr>
                <w:rFonts w:hint="eastAsia" w:ascii="仿宋_GB2312" w:hAnsi="仿宋_GB2312" w:eastAsia="仿宋_GB2312"/>
                <w:color w:val="000000"/>
                <w:kern w:val="2"/>
                <w:sz w:val="32"/>
                <w:szCs w:val="24"/>
              </w:rPr>
              <w:t>36.65</w:t>
            </w:r>
            <w:r>
              <w:rPr>
                <w:rFonts w:hint="eastAsia" w:ascii="仿宋_GB2312" w:hAnsi="仿宋_GB2312" w:eastAsia="仿宋_GB2312"/>
                <w:color w:val="000000"/>
                <w:kern w:val="2"/>
                <w:sz w:val="32"/>
                <w:szCs w:val="24"/>
                <w:lang w:val="zh-CN"/>
              </w:rPr>
              <w:t>万元、离休费</w:t>
            </w:r>
            <w:r>
              <w:rPr>
                <w:rFonts w:hint="eastAsia" w:ascii="仿宋_GB2312" w:hAnsi="仿宋_GB2312" w:eastAsia="仿宋_GB2312"/>
                <w:color w:val="000000"/>
                <w:kern w:val="2"/>
                <w:sz w:val="32"/>
                <w:szCs w:val="24"/>
              </w:rPr>
              <w:t>13.61</w:t>
            </w:r>
            <w:r>
              <w:rPr>
                <w:rFonts w:hint="eastAsia" w:ascii="仿宋_GB2312" w:hAnsi="仿宋_GB2312" w:eastAsia="仿宋_GB2312"/>
                <w:color w:val="000000"/>
                <w:kern w:val="2"/>
                <w:sz w:val="32"/>
                <w:szCs w:val="24"/>
                <w:lang w:val="zh-CN"/>
              </w:rPr>
              <w:t>万元、生活补助</w:t>
            </w:r>
            <w:r>
              <w:rPr>
                <w:rFonts w:hint="eastAsia" w:ascii="仿宋_GB2312" w:hAnsi="仿宋_GB2312" w:eastAsia="仿宋_GB2312"/>
                <w:color w:val="000000"/>
                <w:kern w:val="2"/>
                <w:sz w:val="32"/>
                <w:szCs w:val="24"/>
              </w:rPr>
              <w:t>25.43</w:t>
            </w:r>
            <w:r>
              <w:rPr>
                <w:rFonts w:hint="eastAsia" w:ascii="仿宋_GB2312" w:hAnsi="仿宋_GB2312" w:eastAsia="仿宋_GB2312"/>
                <w:color w:val="000000"/>
                <w:kern w:val="2"/>
                <w:sz w:val="32"/>
                <w:szCs w:val="24"/>
                <w:lang w:val="zh-CN"/>
              </w:rPr>
              <w:t>万元、奖励金</w:t>
            </w:r>
            <w:r>
              <w:rPr>
                <w:rFonts w:hint="eastAsia" w:ascii="仿宋_GB2312" w:hAnsi="仿宋_GB2312" w:eastAsia="仿宋_GB2312"/>
                <w:color w:val="000000"/>
                <w:kern w:val="2"/>
                <w:sz w:val="32"/>
                <w:szCs w:val="24"/>
              </w:rPr>
              <w:t>0.19</w:t>
            </w:r>
            <w:r>
              <w:rPr>
                <w:rFonts w:hint="eastAsia" w:ascii="仿宋_GB2312" w:hAnsi="仿宋_GB2312" w:eastAsia="仿宋_GB2312"/>
                <w:color w:val="000000"/>
                <w:kern w:val="2"/>
                <w:sz w:val="32"/>
                <w:szCs w:val="24"/>
                <w:lang w:val="zh-CN"/>
              </w:rPr>
              <w:t>万元。</w:t>
            </w:r>
          </w:p>
          <w:p>
            <w:pPr>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公用经费</w:t>
            </w:r>
            <w:r>
              <w:rPr>
                <w:rFonts w:hint="eastAsia" w:ascii="仿宋_GB2312" w:hAnsi="仿宋_GB2312" w:eastAsia="仿宋_GB2312"/>
                <w:color w:val="000000"/>
                <w:kern w:val="2"/>
                <w:sz w:val="32"/>
                <w:szCs w:val="24"/>
              </w:rPr>
              <w:t>463.64</w:t>
            </w:r>
            <w:r>
              <w:rPr>
                <w:rFonts w:hint="eastAsia" w:ascii="仿宋_GB2312" w:hAnsi="仿宋_GB2312" w:eastAsia="仿宋_GB2312"/>
                <w:color w:val="000000"/>
                <w:kern w:val="2"/>
                <w:sz w:val="32"/>
                <w:szCs w:val="24"/>
                <w:lang w:val="zh-CN"/>
              </w:rPr>
              <w:t>万元，主要包括：办公费</w:t>
            </w:r>
            <w:r>
              <w:rPr>
                <w:rFonts w:hint="eastAsia" w:ascii="仿宋_GB2312" w:hAnsi="仿宋_GB2312" w:eastAsia="仿宋_GB2312"/>
                <w:color w:val="000000"/>
                <w:kern w:val="2"/>
                <w:sz w:val="32"/>
                <w:szCs w:val="24"/>
              </w:rPr>
              <w:t>147.52</w:t>
            </w:r>
            <w:r>
              <w:rPr>
                <w:rFonts w:hint="eastAsia" w:ascii="仿宋_GB2312" w:hAnsi="仿宋_GB2312" w:eastAsia="仿宋_GB2312"/>
                <w:color w:val="000000"/>
                <w:kern w:val="2"/>
                <w:sz w:val="32"/>
                <w:szCs w:val="24"/>
                <w:lang w:val="zh-CN"/>
              </w:rPr>
              <w:t>万元、印刷费</w:t>
            </w:r>
            <w:r>
              <w:rPr>
                <w:rFonts w:hint="eastAsia" w:ascii="仿宋_GB2312" w:hAnsi="仿宋_GB2312" w:eastAsia="仿宋_GB2312"/>
                <w:color w:val="000000"/>
                <w:kern w:val="2"/>
                <w:sz w:val="32"/>
                <w:szCs w:val="24"/>
              </w:rPr>
              <w:t>2</w:t>
            </w:r>
            <w:r>
              <w:rPr>
                <w:rFonts w:hint="eastAsia" w:ascii="仿宋_GB2312" w:hAnsi="仿宋_GB2312" w:eastAsia="仿宋_GB2312"/>
                <w:color w:val="000000"/>
                <w:kern w:val="2"/>
                <w:sz w:val="32"/>
                <w:szCs w:val="24"/>
                <w:lang w:val="zh-CN"/>
              </w:rPr>
              <w:t>万元、邮电费</w:t>
            </w:r>
            <w:r>
              <w:rPr>
                <w:rFonts w:hint="eastAsia" w:ascii="仿宋_GB2312" w:hAnsi="仿宋_GB2312" w:eastAsia="仿宋_GB2312"/>
                <w:color w:val="000000"/>
                <w:kern w:val="2"/>
                <w:sz w:val="32"/>
                <w:szCs w:val="24"/>
              </w:rPr>
              <w:t>7.69</w:t>
            </w:r>
            <w:r>
              <w:rPr>
                <w:rFonts w:hint="eastAsia" w:ascii="仿宋_GB2312" w:hAnsi="仿宋_GB2312" w:eastAsia="仿宋_GB2312"/>
                <w:color w:val="000000"/>
                <w:kern w:val="2"/>
                <w:sz w:val="32"/>
                <w:szCs w:val="24"/>
                <w:lang w:val="zh-CN"/>
              </w:rPr>
              <w:t>万元、物业管理费</w:t>
            </w:r>
            <w:r>
              <w:rPr>
                <w:rFonts w:hint="eastAsia" w:ascii="仿宋_GB2312" w:hAnsi="仿宋_GB2312" w:eastAsia="仿宋_GB2312"/>
                <w:color w:val="000000"/>
                <w:kern w:val="2"/>
                <w:sz w:val="32"/>
                <w:szCs w:val="24"/>
              </w:rPr>
              <w:t>16.8</w:t>
            </w:r>
            <w:r>
              <w:rPr>
                <w:rFonts w:hint="eastAsia" w:ascii="仿宋_GB2312" w:hAnsi="仿宋_GB2312" w:eastAsia="仿宋_GB2312"/>
                <w:color w:val="000000"/>
                <w:kern w:val="2"/>
                <w:sz w:val="32"/>
                <w:szCs w:val="24"/>
                <w:lang w:val="zh-CN"/>
              </w:rPr>
              <w:t>万元、差旅费</w:t>
            </w:r>
            <w:r>
              <w:rPr>
                <w:rFonts w:hint="eastAsia" w:ascii="仿宋_GB2312" w:hAnsi="仿宋_GB2312" w:eastAsia="仿宋_GB2312"/>
                <w:color w:val="000000"/>
                <w:kern w:val="2"/>
                <w:sz w:val="32"/>
                <w:szCs w:val="24"/>
              </w:rPr>
              <w:t>10</w:t>
            </w:r>
            <w:r>
              <w:rPr>
                <w:rFonts w:hint="eastAsia" w:ascii="仿宋_GB2312" w:hAnsi="仿宋_GB2312" w:eastAsia="仿宋_GB2312"/>
                <w:color w:val="000000"/>
                <w:kern w:val="2"/>
                <w:sz w:val="32"/>
                <w:szCs w:val="24"/>
                <w:lang w:val="zh-CN"/>
              </w:rPr>
              <w:t>万元、维修（护）费</w:t>
            </w:r>
            <w:r>
              <w:rPr>
                <w:rFonts w:hint="eastAsia" w:ascii="仿宋_GB2312" w:hAnsi="仿宋_GB2312" w:eastAsia="仿宋_GB2312"/>
                <w:color w:val="000000"/>
                <w:kern w:val="2"/>
                <w:sz w:val="32"/>
                <w:szCs w:val="24"/>
              </w:rPr>
              <w:t>4.12</w:t>
            </w:r>
            <w:r>
              <w:rPr>
                <w:rFonts w:hint="eastAsia" w:ascii="仿宋_GB2312" w:hAnsi="仿宋_GB2312" w:eastAsia="仿宋_GB2312"/>
                <w:color w:val="000000"/>
                <w:kern w:val="2"/>
                <w:sz w:val="32"/>
                <w:szCs w:val="24"/>
                <w:lang w:val="zh-CN"/>
              </w:rPr>
              <w:t>万元、会议费</w:t>
            </w:r>
            <w:r>
              <w:rPr>
                <w:rFonts w:hint="eastAsia" w:ascii="仿宋_GB2312" w:hAnsi="仿宋_GB2312" w:eastAsia="仿宋_GB2312"/>
                <w:color w:val="000000"/>
                <w:kern w:val="2"/>
                <w:sz w:val="32"/>
                <w:szCs w:val="24"/>
              </w:rPr>
              <w:t>4.48</w:t>
            </w:r>
            <w:r>
              <w:rPr>
                <w:rFonts w:hint="eastAsia" w:ascii="仿宋_GB2312" w:hAnsi="仿宋_GB2312" w:eastAsia="仿宋_GB2312"/>
                <w:color w:val="000000"/>
                <w:kern w:val="2"/>
                <w:sz w:val="32"/>
                <w:szCs w:val="24"/>
                <w:lang w:val="zh-CN"/>
              </w:rPr>
              <w:t>万元、培训费</w:t>
            </w:r>
            <w:r>
              <w:rPr>
                <w:rFonts w:hint="eastAsia" w:ascii="仿宋_GB2312" w:hAnsi="仿宋_GB2312" w:eastAsia="仿宋_GB2312"/>
                <w:color w:val="000000"/>
                <w:kern w:val="2"/>
                <w:sz w:val="32"/>
                <w:szCs w:val="24"/>
              </w:rPr>
              <w:t>3.02</w:t>
            </w:r>
            <w:r>
              <w:rPr>
                <w:rFonts w:hint="eastAsia" w:ascii="仿宋_GB2312" w:hAnsi="仿宋_GB2312" w:eastAsia="仿宋_GB2312"/>
                <w:color w:val="000000"/>
                <w:kern w:val="2"/>
                <w:sz w:val="32"/>
                <w:szCs w:val="24"/>
                <w:lang w:val="zh-CN"/>
              </w:rPr>
              <w:t>万元、公务接待费</w:t>
            </w:r>
            <w:r>
              <w:rPr>
                <w:rFonts w:hint="eastAsia" w:ascii="仿宋_GB2312" w:hAnsi="仿宋_GB2312" w:eastAsia="仿宋_GB2312"/>
                <w:color w:val="000000"/>
                <w:kern w:val="2"/>
                <w:sz w:val="32"/>
                <w:szCs w:val="24"/>
              </w:rPr>
              <w:t>0.52</w:t>
            </w:r>
            <w:r>
              <w:rPr>
                <w:rFonts w:hint="eastAsia" w:ascii="仿宋_GB2312" w:hAnsi="仿宋_GB2312" w:eastAsia="仿宋_GB2312"/>
                <w:color w:val="000000"/>
                <w:kern w:val="2"/>
                <w:sz w:val="32"/>
                <w:szCs w:val="24"/>
                <w:lang w:val="zh-CN"/>
              </w:rPr>
              <w:t>万元、工会经费</w:t>
            </w:r>
            <w:r>
              <w:rPr>
                <w:rFonts w:hint="eastAsia" w:ascii="仿宋_GB2312" w:hAnsi="仿宋_GB2312" w:eastAsia="仿宋_GB2312"/>
                <w:color w:val="000000"/>
                <w:kern w:val="2"/>
                <w:sz w:val="32"/>
                <w:szCs w:val="24"/>
              </w:rPr>
              <w:t>51.98</w:t>
            </w:r>
            <w:r>
              <w:rPr>
                <w:rFonts w:hint="eastAsia" w:ascii="仿宋_GB2312" w:hAnsi="仿宋_GB2312" w:eastAsia="仿宋_GB2312"/>
                <w:color w:val="000000"/>
                <w:kern w:val="2"/>
                <w:sz w:val="32"/>
                <w:szCs w:val="24"/>
                <w:lang w:val="zh-CN"/>
              </w:rPr>
              <w:t>万元、福利费</w:t>
            </w:r>
            <w:r>
              <w:rPr>
                <w:rFonts w:hint="eastAsia" w:ascii="仿宋_GB2312" w:hAnsi="仿宋_GB2312" w:eastAsia="仿宋_GB2312"/>
                <w:color w:val="000000"/>
                <w:kern w:val="2"/>
                <w:sz w:val="32"/>
                <w:szCs w:val="24"/>
              </w:rPr>
              <w:t>37.51</w:t>
            </w:r>
            <w:r>
              <w:rPr>
                <w:rFonts w:hint="eastAsia" w:ascii="仿宋_GB2312" w:hAnsi="仿宋_GB2312" w:eastAsia="仿宋_GB2312"/>
                <w:color w:val="000000"/>
                <w:kern w:val="2"/>
                <w:sz w:val="32"/>
                <w:szCs w:val="24"/>
                <w:lang w:val="zh-CN"/>
              </w:rPr>
              <w:t>万元、公务用车运行维护费</w:t>
            </w:r>
            <w:r>
              <w:rPr>
                <w:rFonts w:hint="eastAsia" w:ascii="仿宋_GB2312" w:hAnsi="仿宋_GB2312" w:eastAsia="仿宋_GB2312"/>
                <w:color w:val="000000"/>
                <w:kern w:val="2"/>
                <w:sz w:val="32"/>
                <w:szCs w:val="24"/>
              </w:rPr>
              <w:t>7</w:t>
            </w:r>
            <w:r>
              <w:rPr>
                <w:rFonts w:hint="eastAsia" w:ascii="仿宋_GB2312" w:hAnsi="仿宋_GB2312" w:eastAsia="仿宋_GB2312"/>
                <w:color w:val="000000"/>
                <w:kern w:val="2"/>
                <w:sz w:val="32"/>
                <w:szCs w:val="24"/>
                <w:lang w:val="zh-CN"/>
              </w:rPr>
              <w:t>万元、其他交通费</w:t>
            </w:r>
            <w:r>
              <w:rPr>
                <w:rFonts w:hint="eastAsia" w:ascii="仿宋_GB2312" w:hAnsi="仿宋_GB2312" w:eastAsia="仿宋_GB2312"/>
                <w:color w:val="000000"/>
                <w:kern w:val="2"/>
                <w:sz w:val="32"/>
                <w:szCs w:val="24"/>
              </w:rPr>
              <w:t>154.28</w:t>
            </w:r>
            <w:r>
              <w:rPr>
                <w:rFonts w:hint="eastAsia" w:ascii="仿宋_GB2312" w:hAnsi="仿宋_GB2312" w:eastAsia="仿宋_GB2312"/>
                <w:color w:val="000000"/>
                <w:kern w:val="2"/>
                <w:sz w:val="32"/>
                <w:szCs w:val="24"/>
                <w:lang w:val="zh-CN"/>
              </w:rPr>
              <w:t>万元、其他商品和服务支出</w:t>
            </w:r>
            <w:r>
              <w:rPr>
                <w:rFonts w:hint="eastAsia" w:ascii="仿宋_GB2312" w:hAnsi="仿宋_GB2312" w:eastAsia="仿宋_GB2312"/>
                <w:color w:val="000000"/>
                <w:kern w:val="2"/>
                <w:sz w:val="32"/>
                <w:szCs w:val="24"/>
              </w:rPr>
              <w:t>16.72</w:t>
            </w:r>
            <w:r>
              <w:rPr>
                <w:rFonts w:hint="eastAsia" w:ascii="仿宋_GB2312" w:hAnsi="仿宋_GB2312" w:eastAsia="仿宋_GB2312"/>
                <w:color w:val="000000"/>
                <w:kern w:val="2"/>
                <w:sz w:val="32"/>
                <w:szCs w:val="24"/>
                <w:lang w:val="zh-CN"/>
              </w:rPr>
              <w:t>万元。</w:t>
            </w:r>
          </w:p>
          <w:p>
            <w:pPr>
              <w:keepNext/>
              <w:keepLines/>
              <w:spacing w:line="576" w:lineRule="exact"/>
              <w:ind w:firstLine="640"/>
              <w:jc w:val="both"/>
              <w:rPr>
                <w:rFonts w:hint="default" w:ascii="黑体" w:hAnsi="黑体" w:eastAsia="黑体"/>
                <w:kern w:val="2"/>
                <w:sz w:val="32"/>
                <w:szCs w:val="24"/>
                <w:lang w:val="zh-CN"/>
              </w:rPr>
            </w:pPr>
            <w:r>
              <w:rPr>
                <w:rFonts w:hint="default" w:ascii="黑体" w:hAnsi="黑体" w:eastAsia="黑体"/>
                <w:color w:val="000000"/>
                <w:kern w:val="2"/>
                <w:sz w:val="32"/>
                <w:szCs w:val="24"/>
                <w:lang w:val="zh-CN"/>
              </w:rPr>
              <w:t>七、</w:t>
            </w:r>
            <w:r>
              <w:rPr>
                <w:rFonts w:hint="default" w:ascii="黑体" w:hAnsi="黑体" w:eastAsia="黑体"/>
                <w:b/>
                <w:kern w:val="2"/>
                <w:sz w:val="32"/>
                <w:szCs w:val="24"/>
                <w:lang w:val="zh-CN"/>
              </w:rPr>
              <w:t>“</w:t>
            </w:r>
            <w:r>
              <w:rPr>
                <w:rFonts w:hint="default" w:ascii="黑体" w:hAnsi="黑体" w:eastAsia="黑体"/>
                <w:kern w:val="2"/>
                <w:sz w:val="32"/>
                <w:szCs w:val="24"/>
                <w:lang w:val="zh-CN"/>
              </w:rPr>
              <w:t>三公”经费财政拨款支出决算情况说明</w:t>
            </w:r>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（一）“三公”经费财政拨款支出决算总体情况说明</w:t>
            </w:r>
          </w:p>
          <w:p>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2022年“三公”经费财政拨款支出预算为</w:t>
            </w:r>
            <w:r>
              <w:rPr>
                <w:rFonts w:hint="eastAsia" w:ascii="仿宋_GB2312" w:hAnsi="仿宋_GB2312" w:eastAsia="仿宋_GB2312"/>
                <w:color w:val="000000"/>
                <w:kern w:val="2"/>
                <w:sz w:val="32"/>
                <w:szCs w:val="24"/>
              </w:rPr>
              <w:t>45.34</w:t>
            </w:r>
            <w:r>
              <w:rPr>
                <w:rFonts w:hint="eastAsia" w:ascii="仿宋_GB2312" w:hAnsi="仿宋_GB2312" w:eastAsia="仿宋_GB2312"/>
                <w:color w:val="000000"/>
                <w:kern w:val="2"/>
                <w:sz w:val="32"/>
                <w:szCs w:val="24"/>
                <w:lang w:val="zh-CN"/>
              </w:rPr>
              <w:t>万元，支出决算为</w:t>
            </w:r>
            <w:r>
              <w:rPr>
                <w:rFonts w:hint="eastAsia" w:ascii="仿宋_GB2312" w:hAnsi="仿宋_GB2312" w:eastAsia="仿宋_GB2312"/>
                <w:color w:val="000000"/>
                <w:kern w:val="2"/>
                <w:sz w:val="32"/>
                <w:szCs w:val="24"/>
              </w:rPr>
              <w:t>45.34</w:t>
            </w:r>
            <w:r>
              <w:rPr>
                <w:rFonts w:hint="eastAsia" w:ascii="仿宋_GB2312" w:hAnsi="仿宋_GB2312" w:eastAsia="仿宋_GB2312"/>
                <w:color w:val="000000"/>
                <w:kern w:val="2"/>
                <w:sz w:val="32"/>
                <w:szCs w:val="24"/>
                <w:lang w:val="zh-CN"/>
              </w:rPr>
              <w:t>万元，完成预算的</w:t>
            </w:r>
            <w:r>
              <w:rPr>
                <w:rFonts w:hint="eastAsia" w:ascii="仿宋_GB2312" w:hAnsi="仿宋_GB2312" w:eastAsia="仿宋_GB2312"/>
                <w:color w:val="000000"/>
                <w:kern w:val="2"/>
                <w:sz w:val="32"/>
                <w:szCs w:val="24"/>
              </w:rPr>
              <w:t>100</w:t>
            </w:r>
            <w:r>
              <w:rPr>
                <w:rFonts w:hint="eastAsia" w:ascii="仿宋_GB2312" w:hAnsi="仿宋_GB2312" w:eastAsia="仿宋_GB2312"/>
                <w:color w:val="000000"/>
                <w:kern w:val="2"/>
                <w:sz w:val="32"/>
                <w:szCs w:val="24"/>
                <w:lang w:val="zh-CN"/>
              </w:rPr>
              <w:t>%；较上年增加</w:t>
            </w:r>
            <w:r>
              <w:rPr>
                <w:rFonts w:hint="eastAsia" w:ascii="仿宋_GB2312" w:hAnsi="仿宋_GB2312" w:eastAsia="仿宋_GB2312"/>
                <w:color w:val="000000"/>
                <w:kern w:val="2"/>
                <w:sz w:val="32"/>
                <w:szCs w:val="24"/>
              </w:rPr>
              <w:t>7.28</w:t>
            </w:r>
            <w:r>
              <w:rPr>
                <w:rFonts w:hint="eastAsia" w:ascii="仿宋_GB2312" w:hAnsi="仿宋_GB2312" w:eastAsia="仿宋_GB2312"/>
                <w:color w:val="000000"/>
                <w:kern w:val="2"/>
                <w:sz w:val="32"/>
                <w:szCs w:val="24"/>
                <w:lang w:val="zh-CN"/>
              </w:rPr>
              <w:t>万元，增长</w:t>
            </w:r>
            <w:r>
              <w:rPr>
                <w:rFonts w:hint="eastAsia" w:ascii="仿宋_GB2312" w:hAnsi="仿宋_GB2312" w:eastAsia="仿宋_GB2312"/>
                <w:color w:val="000000"/>
                <w:kern w:val="2"/>
                <w:sz w:val="32"/>
                <w:szCs w:val="24"/>
              </w:rPr>
              <w:t>19.13</w:t>
            </w:r>
            <w:r>
              <w:rPr>
                <w:rFonts w:hint="eastAsia" w:ascii="仿宋_GB2312" w:hAnsi="仿宋_GB2312" w:eastAsia="仿宋_GB2312"/>
                <w:color w:val="000000"/>
                <w:kern w:val="2"/>
                <w:sz w:val="32"/>
                <w:szCs w:val="24"/>
                <w:lang w:val="zh-CN"/>
              </w:rPr>
              <w:t>%。决算数与预算数持平。决算数较上年增加主要原因是虽严格控制公车运行经费支出，但执纪监督、审查调查等工作量加大，用车较为频繁。</w:t>
            </w:r>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（二）“三公”经费财政拨款支出决算具体情况说明</w:t>
            </w:r>
          </w:p>
          <w:p>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2022年“三公”经费财政拨款支出决算中，因公出国（境）费支出决算</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%；公务用车购置及运行维护费支出决算</w:t>
            </w:r>
            <w:r>
              <w:rPr>
                <w:rFonts w:hint="eastAsia" w:ascii="仿宋_GB2312" w:hAnsi="仿宋_GB2312" w:eastAsia="仿宋_GB2312"/>
                <w:color w:val="000000"/>
                <w:kern w:val="2"/>
                <w:sz w:val="32"/>
                <w:szCs w:val="24"/>
              </w:rPr>
              <w:t>44.82</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rPr>
              <w:t>98.85</w:t>
            </w:r>
            <w:r>
              <w:rPr>
                <w:rFonts w:hint="eastAsia" w:ascii="仿宋_GB2312" w:hAnsi="仿宋_GB2312" w:eastAsia="仿宋_GB2312"/>
                <w:color w:val="000000"/>
                <w:kern w:val="2"/>
                <w:sz w:val="32"/>
                <w:szCs w:val="24"/>
                <w:lang w:val="zh-CN"/>
              </w:rPr>
              <w:t>%；公务接待费支出决算</w:t>
            </w:r>
            <w:r>
              <w:rPr>
                <w:rFonts w:hint="eastAsia" w:ascii="仿宋_GB2312" w:hAnsi="仿宋_GB2312" w:eastAsia="仿宋_GB2312"/>
                <w:color w:val="000000"/>
                <w:kern w:val="2"/>
                <w:sz w:val="32"/>
                <w:szCs w:val="24"/>
              </w:rPr>
              <w:t>0.52</w:t>
            </w:r>
            <w:r>
              <w:rPr>
                <w:rFonts w:hint="eastAsia" w:ascii="仿宋_GB2312" w:hAnsi="仿宋_GB2312" w:eastAsia="仿宋_GB2312"/>
                <w:color w:val="000000"/>
                <w:kern w:val="2"/>
                <w:sz w:val="32"/>
                <w:szCs w:val="24"/>
                <w:lang w:val="zh-CN"/>
              </w:rPr>
              <w:t>万元，占</w:t>
            </w:r>
            <w:r>
              <w:rPr>
                <w:rFonts w:hint="eastAsia" w:ascii="仿宋_GB2312" w:hAnsi="仿宋_GB2312" w:eastAsia="仿宋_GB2312"/>
                <w:color w:val="000000"/>
                <w:kern w:val="2"/>
                <w:sz w:val="32"/>
                <w:szCs w:val="24"/>
              </w:rPr>
              <w:t>1.15</w:t>
            </w:r>
            <w:r>
              <w:rPr>
                <w:rFonts w:hint="eastAsia" w:ascii="仿宋_GB2312" w:hAnsi="仿宋_GB2312" w:eastAsia="仿宋_GB2312"/>
                <w:color w:val="000000"/>
                <w:kern w:val="2"/>
                <w:sz w:val="32"/>
                <w:szCs w:val="24"/>
                <w:lang w:val="zh-CN"/>
              </w:rPr>
              <w:t>%。具体情况如下：</w:t>
            </w:r>
          </w:p>
          <w:p>
            <w:pPr>
              <w:rPr>
                <w:rFonts w:hint="eastAsia" w:hAnsi="宋体"/>
                <w:color w:val="000000"/>
                <w:sz w:val="24"/>
                <w:szCs w:val="24"/>
              </w:rPr>
            </w:pPr>
            <w:r>
              <w:rPr>
                <w:rFonts w:hint="default"/>
                <w:sz w:val="24"/>
                <w:szCs w:val="24"/>
              </w:rPr>
              <w:drawing>
                <wp:anchor distT="0" distB="0" distL="114300" distR="114300" simplePos="0" relativeHeight="251664384" behindDoc="0" locked="0" layoutInCell="1" allowOverlap="1">
                  <wp:simplePos x="0" y="0"/>
                  <wp:positionH relativeFrom="column">
                    <wp:posOffset>579120</wp:posOffset>
                  </wp:positionH>
                  <wp:positionV relativeFrom="paragraph">
                    <wp:posOffset>161925</wp:posOffset>
                  </wp:positionV>
                  <wp:extent cx="4450080" cy="2677160"/>
                  <wp:effectExtent l="0" t="0" r="7620" b="2540"/>
                  <wp:wrapTopAndBottom/>
                  <wp:docPr id="6" name="鍥剧墖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鍥剧墖 7"/>
                          <pic:cNvPicPr>
                            <a:picLocks noChangeAspect="1"/>
                          </pic:cNvPicPr>
                        </pic:nvPicPr>
                        <pic:blipFill>
                          <a:blip r:embed="rId11"/>
                          <a:stretch>
                            <a:fillRect/>
                          </a:stretch>
                        </pic:blipFill>
                        <pic:spPr>
                          <a:xfrm>
                            <a:off x="0" y="0"/>
                            <a:ext cx="4450080" cy="2677160"/>
                          </a:xfrm>
                          <a:prstGeom prst="rect">
                            <a:avLst/>
                          </a:prstGeom>
                          <a:noFill/>
                          <a:ln>
                            <a:noFill/>
                          </a:ln>
                        </pic:spPr>
                      </pic:pic>
                    </a:graphicData>
                  </a:graphic>
                </wp:anchor>
              </w:drawing>
            </w:r>
          </w:p>
          <w:p>
            <w:pPr>
              <w:keepNext/>
              <w:keepLines/>
              <w:spacing w:line="576" w:lineRule="exact"/>
              <w:ind w:firstLine="960" w:firstLineChars="3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（图7：“三公”经费财政拨款支出结构）（饼状图）</w:t>
            </w:r>
          </w:p>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c>
          <w:tcPr>
            <w:tcW w:w="1080" w:type="dxa"/>
            <w:tcBorders>
              <w:top w:val="nil"/>
              <w:left w:val="nil"/>
              <w:bottom w:val="nil"/>
              <w:right w:val="nil"/>
              <w:tl2br w:val="nil"/>
              <w:tr2bl w:val="nil"/>
            </w:tcBorders>
            <w:noWrap/>
            <w:vAlign w:val="center"/>
          </w:tcPr>
          <w:p>
            <w:pPr>
              <w:rPr>
                <w:rFonts w:hint="eastAsia" w:hAnsi="宋体"/>
                <w:color w:val="000000"/>
                <w:sz w:val="24"/>
                <w:szCs w:val="24"/>
              </w:rPr>
            </w:pPr>
          </w:p>
        </w:tc>
      </w:tr>
    </w:tbl>
    <w:p>
      <w:pPr>
        <w:keepNext/>
        <w:keepLines/>
        <w:spacing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lang w:val="zh-CN"/>
        </w:rPr>
        <w:t>1.因公出国（境）经费</w:t>
      </w:r>
      <w:r>
        <w:rPr>
          <w:rFonts w:hint="eastAsia" w:ascii="仿宋_GB2312" w:hAnsi="仿宋_GB2312" w:eastAsia="仿宋_GB2312"/>
          <w:color w:val="000000"/>
          <w:kern w:val="2"/>
          <w:sz w:val="32"/>
          <w:szCs w:val="24"/>
          <w:lang w:val="zh-CN"/>
        </w:rPr>
        <w:t>预算为</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万元，支出决算为</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万元，完成预算的</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%。全年安排因公出国（境）团组</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个，出国（境）</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人。因公出国（境）支出决算比2021年增加/减少</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万元，增长/下降</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rPr>
        <w:t xml:space="preserve"> </w:t>
      </w:r>
    </w:p>
    <w:p>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i/>
          <w:color w:val="FF0000"/>
          <w:kern w:val="2"/>
          <w:sz w:val="32"/>
          <w:szCs w:val="24"/>
        </w:rPr>
        <w:t xml:space="preserve"> </w:t>
      </w:r>
      <w:r>
        <w:rPr>
          <w:rFonts w:hint="eastAsia" w:ascii="仿宋_GB2312" w:hAnsi="仿宋_GB2312" w:eastAsia="仿宋_GB2312"/>
          <w:b/>
          <w:color w:val="000000"/>
          <w:kern w:val="2"/>
          <w:sz w:val="32"/>
          <w:szCs w:val="24"/>
          <w:lang w:val="zh-CN"/>
        </w:rPr>
        <w:t>2.公务用车购置及运行维护费</w:t>
      </w:r>
      <w:r>
        <w:rPr>
          <w:rFonts w:hint="eastAsia" w:ascii="仿宋_GB2312" w:hAnsi="仿宋_GB2312" w:eastAsia="仿宋_GB2312"/>
          <w:color w:val="000000"/>
          <w:kern w:val="2"/>
          <w:sz w:val="32"/>
          <w:szCs w:val="24"/>
          <w:lang w:val="zh-CN"/>
        </w:rPr>
        <w:t>预算为</w:t>
      </w:r>
      <w:r>
        <w:rPr>
          <w:rFonts w:hint="eastAsia" w:ascii="仿宋_GB2312" w:hAnsi="仿宋_GB2312" w:eastAsia="仿宋_GB2312"/>
          <w:color w:val="000000"/>
          <w:kern w:val="2"/>
          <w:sz w:val="32"/>
          <w:szCs w:val="24"/>
        </w:rPr>
        <w:t>44.82</w:t>
      </w:r>
      <w:r>
        <w:rPr>
          <w:rFonts w:hint="eastAsia" w:ascii="仿宋_GB2312" w:hAnsi="仿宋_GB2312" w:eastAsia="仿宋_GB2312"/>
          <w:color w:val="000000"/>
          <w:kern w:val="2"/>
          <w:sz w:val="32"/>
          <w:szCs w:val="24"/>
          <w:lang w:val="zh-CN"/>
        </w:rPr>
        <w:t>万元,支出决算为</w:t>
      </w:r>
      <w:r>
        <w:rPr>
          <w:rFonts w:hint="eastAsia" w:ascii="仿宋_GB2312" w:hAnsi="仿宋_GB2312" w:eastAsia="仿宋_GB2312"/>
          <w:color w:val="000000"/>
          <w:kern w:val="2"/>
          <w:sz w:val="32"/>
          <w:szCs w:val="24"/>
        </w:rPr>
        <w:t>44.82</w:t>
      </w:r>
      <w:r>
        <w:rPr>
          <w:rFonts w:hint="eastAsia" w:ascii="仿宋_GB2312" w:hAnsi="仿宋_GB2312" w:eastAsia="仿宋_GB2312"/>
          <w:color w:val="000000"/>
          <w:kern w:val="2"/>
          <w:sz w:val="32"/>
          <w:szCs w:val="24"/>
          <w:lang w:val="zh-CN"/>
        </w:rPr>
        <w:t>万元，完成预算的</w:t>
      </w:r>
      <w:r>
        <w:rPr>
          <w:rFonts w:hint="eastAsia" w:ascii="仿宋_GB2312" w:hAnsi="仿宋_GB2312" w:eastAsia="仿宋_GB2312"/>
          <w:color w:val="000000"/>
          <w:kern w:val="2"/>
          <w:sz w:val="32"/>
          <w:szCs w:val="24"/>
        </w:rPr>
        <w:t>100</w:t>
      </w:r>
      <w:r>
        <w:rPr>
          <w:rFonts w:hint="eastAsia" w:ascii="仿宋_GB2312" w:hAnsi="仿宋_GB2312" w:eastAsia="仿宋_GB2312"/>
          <w:color w:val="000000"/>
          <w:kern w:val="2"/>
          <w:sz w:val="32"/>
          <w:szCs w:val="24"/>
          <w:lang w:val="zh-CN"/>
        </w:rPr>
        <w:t>%。公务用车购置及运行维护费支出决算比2021年增加</w:t>
      </w:r>
      <w:r>
        <w:rPr>
          <w:rFonts w:hint="eastAsia" w:ascii="仿宋_GB2312" w:hAnsi="仿宋_GB2312" w:eastAsia="仿宋_GB2312"/>
          <w:color w:val="000000"/>
          <w:kern w:val="2"/>
          <w:sz w:val="32"/>
          <w:szCs w:val="24"/>
        </w:rPr>
        <w:t>7.45</w:t>
      </w:r>
      <w:r>
        <w:rPr>
          <w:rFonts w:hint="eastAsia" w:ascii="仿宋_GB2312" w:hAnsi="仿宋_GB2312" w:eastAsia="仿宋_GB2312"/>
          <w:color w:val="000000"/>
          <w:kern w:val="2"/>
          <w:sz w:val="32"/>
          <w:szCs w:val="24"/>
          <w:lang w:val="zh-CN"/>
        </w:rPr>
        <w:t>万元，增长</w:t>
      </w:r>
      <w:r>
        <w:rPr>
          <w:rFonts w:hint="eastAsia" w:ascii="仿宋_GB2312" w:hAnsi="仿宋_GB2312" w:eastAsia="仿宋_GB2312"/>
          <w:color w:val="000000"/>
          <w:kern w:val="2"/>
          <w:sz w:val="32"/>
          <w:szCs w:val="24"/>
        </w:rPr>
        <w:t>19.94</w:t>
      </w:r>
      <w:r>
        <w:rPr>
          <w:rFonts w:hint="eastAsia" w:ascii="仿宋_GB2312" w:hAnsi="仿宋_GB2312" w:eastAsia="仿宋_GB2312"/>
          <w:color w:val="000000"/>
          <w:kern w:val="2"/>
          <w:sz w:val="32"/>
          <w:szCs w:val="24"/>
          <w:lang w:val="zh-CN"/>
        </w:rPr>
        <w:t>%。主要原因是执纪监督、审查调查等工作量加大，用车较为频繁。</w:t>
      </w:r>
    </w:p>
    <w:p>
      <w:pPr>
        <w:keepNext/>
        <w:keepLines/>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其中：</w:t>
      </w:r>
      <w:r>
        <w:rPr>
          <w:rFonts w:hint="eastAsia" w:ascii="仿宋_GB2312" w:hAnsi="仿宋_GB2312" w:eastAsia="仿宋_GB2312"/>
          <w:b/>
          <w:color w:val="000000"/>
          <w:kern w:val="2"/>
          <w:sz w:val="32"/>
          <w:szCs w:val="24"/>
          <w:lang w:val="zh-CN"/>
        </w:rPr>
        <w:t>公务用车购置费</w:t>
      </w:r>
      <w:r>
        <w:rPr>
          <w:rFonts w:hint="eastAsia" w:ascii="仿宋_GB2312" w:hAnsi="仿宋_GB2312" w:eastAsia="仿宋_GB2312"/>
          <w:color w:val="000000"/>
          <w:kern w:val="2"/>
          <w:sz w:val="32"/>
          <w:szCs w:val="24"/>
          <w:lang w:val="zh-CN"/>
        </w:rPr>
        <w:t>支出</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万元。全年按规定更新购置公务用车</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辆，其中：轿车</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万元，越野车</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万元，小型载客汽车</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万元，大中型载客汽车</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万元，其他车型</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万元。截至2022年12月31日，本部门共有公务用车</w:t>
      </w:r>
      <w:r>
        <w:rPr>
          <w:rFonts w:hint="eastAsia" w:ascii="仿宋_GB2312" w:hAnsi="仿宋_GB2312" w:eastAsia="仿宋_GB2312"/>
          <w:color w:val="000000"/>
          <w:kern w:val="2"/>
          <w:sz w:val="32"/>
          <w:szCs w:val="24"/>
        </w:rPr>
        <w:t>14</w:t>
      </w:r>
      <w:r>
        <w:rPr>
          <w:rFonts w:hint="eastAsia" w:ascii="仿宋_GB2312" w:hAnsi="仿宋_GB2312" w:eastAsia="仿宋_GB2312"/>
          <w:color w:val="000000"/>
          <w:kern w:val="2"/>
          <w:sz w:val="32"/>
          <w:szCs w:val="24"/>
          <w:lang w:val="zh-CN"/>
        </w:rPr>
        <w:t>辆，其中：轿车</w:t>
      </w:r>
      <w:r>
        <w:rPr>
          <w:rFonts w:hint="eastAsia" w:ascii="仿宋_GB2312" w:hAnsi="仿宋_GB2312" w:eastAsia="仿宋_GB2312"/>
          <w:color w:val="000000"/>
          <w:kern w:val="2"/>
          <w:sz w:val="32"/>
          <w:szCs w:val="24"/>
        </w:rPr>
        <w:t>10</w:t>
      </w:r>
      <w:r>
        <w:rPr>
          <w:rFonts w:hint="eastAsia" w:ascii="仿宋_GB2312" w:hAnsi="仿宋_GB2312" w:eastAsia="仿宋_GB2312"/>
          <w:color w:val="000000"/>
          <w:kern w:val="2"/>
          <w:sz w:val="32"/>
          <w:szCs w:val="24"/>
          <w:lang w:val="zh-CN"/>
        </w:rPr>
        <w:t>辆、越野车</w:t>
      </w:r>
      <w:r>
        <w:rPr>
          <w:rFonts w:hint="eastAsia" w:ascii="仿宋_GB2312" w:hAnsi="仿宋_GB2312" w:eastAsia="仿宋_GB2312"/>
          <w:color w:val="000000"/>
          <w:kern w:val="2"/>
          <w:sz w:val="32"/>
          <w:szCs w:val="24"/>
        </w:rPr>
        <w:t>1</w:t>
      </w:r>
      <w:r>
        <w:rPr>
          <w:rFonts w:hint="eastAsia" w:ascii="仿宋_GB2312" w:hAnsi="仿宋_GB2312" w:eastAsia="仿宋_GB2312"/>
          <w:color w:val="000000"/>
          <w:kern w:val="2"/>
          <w:sz w:val="32"/>
          <w:szCs w:val="24"/>
          <w:lang w:val="zh-CN"/>
        </w:rPr>
        <w:t>辆、小型载客汽车</w:t>
      </w:r>
      <w:r>
        <w:rPr>
          <w:rFonts w:hint="eastAsia" w:ascii="仿宋_GB2312" w:hAnsi="仿宋_GB2312" w:eastAsia="仿宋_GB2312"/>
          <w:color w:val="000000"/>
          <w:kern w:val="2"/>
          <w:sz w:val="32"/>
          <w:szCs w:val="24"/>
        </w:rPr>
        <w:t>3</w:t>
      </w:r>
      <w:r>
        <w:rPr>
          <w:rFonts w:hint="eastAsia" w:ascii="仿宋_GB2312" w:hAnsi="仿宋_GB2312" w:eastAsia="仿宋_GB2312"/>
          <w:color w:val="000000"/>
          <w:kern w:val="2"/>
          <w:sz w:val="32"/>
          <w:szCs w:val="24"/>
          <w:lang w:val="zh-CN"/>
        </w:rPr>
        <w:t>辆、大中型载客汽车</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辆、其他车型</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辆。</w:t>
      </w:r>
    </w:p>
    <w:p>
      <w:pPr>
        <w:keepNext/>
        <w:keepLines/>
        <w:spacing w:line="600" w:lineRule="exact"/>
        <w:ind w:firstLine="643" w:firstLineChars="200"/>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公务用车运行维护费</w:t>
      </w:r>
      <w:r>
        <w:rPr>
          <w:rFonts w:hint="eastAsia" w:ascii="仿宋_GB2312" w:hAnsi="仿宋_GB2312" w:eastAsia="仿宋_GB2312"/>
          <w:color w:val="000000"/>
          <w:kern w:val="2"/>
          <w:sz w:val="32"/>
          <w:szCs w:val="24"/>
          <w:lang w:val="zh-CN"/>
        </w:rPr>
        <w:t>支出</w:t>
      </w:r>
      <w:r>
        <w:rPr>
          <w:rFonts w:hint="eastAsia" w:ascii="仿宋_GB2312" w:hAnsi="仿宋_GB2312" w:eastAsia="仿宋_GB2312"/>
          <w:color w:val="000000"/>
          <w:kern w:val="2"/>
          <w:sz w:val="32"/>
          <w:szCs w:val="24"/>
        </w:rPr>
        <w:t>44.82</w:t>
      </w:r>
      <w:r>
        <w:rPr>
          <w:rFonts w:hint="eastAsia" w:ascii="仿宋_GB2312" w:hAnsi="仿宋_GB2312" w:eastAsia="仿宋_GB2312"/>
          <w:color w:val="000000"/>
          <w:kern w:val="2"/>
          <w:sz w:val="32"/>
          <w:szCs w:val="24"/>
          <w:lang w:val="zh-CN"/>
        </w:rPr>
        <w:t>万元。主要用于案件查办、执纪监督、委机关工作开展等所需的公务用车燃料费、维修费、过路过桥费、保险费等支出。</w:t>
      </w:r>
    </w:p>
    <w:p>
      <w:pPr>
        <w:pStyle w:val="6"/>
        <w:spacing w:line="600" w:lineRule="exact"/>
        <w:rPr>
          <w:rFonts w:hint="eastAsia" w:ascii="仿宋_GB2312" w:hAnsi="仿宋_GB2312" w:eastAsia="仿宋_GB2312"/>
          <w:color w:val="000000"/>
          <w:sz w:val="32"/>
          <w:szCs w:val="24"/>
          <w:lang w:val="zh-CN"/>
        </w:rPr>
      </w:pPr>
      <w:r>
        <w:rPr>
          <w:rFonts w:hint="eastAsia" w:ascii="仿宋_GB2312" w:eastAsia="仿宋_GB2312"/>
          <w:color w:val="000000"/>
          <w:sz w:val="32"/>
          <w:szCs w:val="24"/>
        </w:rPr>
        <w:t xml:space="preserve">    </w:t>
      </w:r>
      <w:r>
        <w:rPr>
          <w:rFonts w:hint="eastAsia" w:ascii="仿宋_GB2312" w:hAnsi="仿宋_GB2312" w:eastAsia="仿宋_GB2312"/>
          <w:b/>
          <w:color w:val="000000"/>
          <w:sz w:val="32"/>
          <w:szCs w:val="24"/>
          <w:lang w:val="zh-CN"/>
        </w:rPr>
        <w:t>3.公务接待费</w:t>
      </w:r>
      <w:r>
        <w:rPr>
          <w:rFonts w:hint="eastAsia" w:ascii="仿宋_GB2312" w:hAnsi="仿宋_GB2312" w:eastAsia="仿宋_GB2312"/>
          <w:color w:val="000000"/>
          <w:sz w:val="32"/>
          <w:szCs w:val="24"/>
          <w:lang w:val="zh-CN"/>
        </w:rPr>
        <w:t>预算为</w:t>
      </w:r>
      <w:r>
        <w:rPr>
          <w:rFonts w:hint="eastAsia" w:ascii="仿宋_GB2312" w:hAnsi="仿宋_GB2312" w:eastAsia="仿宋_GB2312"/>
          <w:color w:val="000000"/>
          <w:sz w:val="32"/>
          <w:szCs w:val="24"/>
        </w:rPr>
        <w:t>0.52</w:t>
      </w:r>
      <w:r>
        <w:rPr>
          <w:rFonts w:hint="eastAsia" w:ascii="仿宋_GB2312" w:hAnsi="仿宋_GB2312" w:eastAsia="仿宋_GB2312"/>
          <w:color w:val="000000"/>
          <w:sz w:val="32"/>
          <w:szCs w:val="24"/>
          <w:lang w:val="zh-CN"/>
        </w:rPr>
        <w:t>万元，支出决算为</w:t>
      </w:r>
      <w:r>
        <w:rPr>
          <w:rFonts w:hint="eastAsia" w:ascii="仿宋_GB2312" w:hAnsi="仿宋_GB2312" w:eastAsia="仿宋_GB2312"/>
          <w:color w:val="000000"/>
          <w:sz w:val="32"/>
          <w:szCs w:val="24"/>
        </w:rPr>
        <w:t>0.52万</w:t>
      </w:r>
      <w:r>
        <w:rPr>
          <w:rFonts w:hint="eastAsia" w:ascii="仿宋_GB2312" w:hAnsi="仿宋_GB2312" w:eastAsia="仿宋_GB2312"/>
          <w:color w:val="000000"/>
          <w:sz w:val="32"/>
          <w:szCs w:val="24"/>
          <w:lang w:val="zh-CN"/>
        </w:rPr>
        <w:t>元，完成预算的</w:t>
      </w:r>
      <w:r>
        <w:rPr>
          <w:rFonts w:hint="eastAsia" w:ascii="仿宋_GB2312" w:hAnsi="仿宋_GB2312" w:eastAsia="仿宋_GB2312"/>
          <w:color w:val="000000"/>
          <w:sz w:val="32"/>
          <w:szCs w:val="24"/>
        </w:rPr>
        <w:t>100</w:t>
      </w:r>
      <w:r>
        <w:rPr>
          <w:rFonts w:hint="eastAsia" w:ascii="仿宋_GB2312" w:hAnsi="仿宋_GB2312" w:eastAsia="仿宋_GB2312"/>
          <w:color w:val="000000"/>
          <w:sz w:val="32"/>
          <w:szCs w:val="24"/>
          <w:lang w:val="zh-CN"/>
        </w:rPr>
        <w:t>%。公务接待费支出决算比2021年减少</w:t>
      </w:r>
      <w:r>
        <w:rPr>
          <w:rFonts w:hint="eastAsia" w:ascii="仿宋_GB2312" w:hAnsi="仿宋_GB2312" w:eastAsia="仿宋_GB2312"/>
          <w:color w:val="000000"/>
          <w:sz w:val="32"/>
          <w:szCs w:val="24"/>
        </w:rPr>
        <w:t>0.17</w:t>
      </w:r>
      <w:r>
        <w:rPr>
          <w:rFonts w:hint="eastAsia" w:ascii="仿宋_GB2312" w:hAnsi="仿宋_GB2312" w:eastAsia="仿宋_GB2312"/>
          <w:color w:val="000000"/>
          <w:sz w:val="32"/>
          <w:szCs w:val="24"/>
          <w:lang w:val="zh-CN"/>
        </w:rPr>
        <w:t>万元，下降</w:t>
      </w:r>
      <w:r>
        <w:rPr>
          <w:rFonts w:hint="eastAsia" w:ascii="仿宋_GB2312" w:hAnsi="仿宋_GB2312" w:eastAsia="仿宋_GB2312"/>
          <w:color w:val="000000"/>
          <w:sz w:val="32"/>
          <w:szCs w:val="24"/>
        </w:rPr>
        <w:t>24.64</w:t>
      </w:r>
      <w:r>
        <w:rPr>
          <w:rFonts w:hint="eastAsia" w:ascii="仿宋_GB2312" w:hAnsi="仿宋_GB2312" w:eastAsia="仿宋_GB2312"/>
          <w:color w:val="000000"/>
          <w:sz w:val="32"/>
          <w:szCs w:val="24"/>
          <w:lang w:val="zh-CN"/>
        </w:rPr>
        <w:t>%。主要原因是认真贯彻落实中央八项规定精神，从严控制公务接待支出。其中：</w:t>
      </w:r>
    </w:p>
    <w:p>
      <w:pPr>
        <w:spacing w:line="560" w:lineRule="exact"/>
        <w:ind w:firstLine="643" w:firstLineChars="200"/>
        <w:rPr>
          <w:rFonts w:hint="eastAsia" w:ascii="仿宋_GB2312" w:eastAsia="仿宋_GB2312"/>
          <w:color w:val="000000"/>
          <w:sz w:val="32"/>
          <w:szCs w:val="24"/>
        </w:rPr>
      </w:pPr>
      <w:r>
        <w:rPr>
          <w:rFonts w:hint="eastAsia" w:ascii="仿宋_GB2312" w:hAnsi="仿宋_GB2312" w:eastAsia="仿宋_GB2312"/>
          <w:b/>
          <w:color w:val="000000"/>
          <w:kern w:val="2"/>
          <w:sz w:val="32"/>
          <w:szCs w:val="24"/>
          <w:lang w:val="zh-CN"/>
        </w:rPr>
        <w:t>国内公务接待</w:t>
      </w:r>
      <w:r>
        <w:rPr>
          <w:rFonts w:hint="eastAsia" w:ascii="仿宋_GB2312" w:hAnsi="仿宋_GB2312" w:eastAsia="仿宋_GB2312"/>
          <w:color w:val="000000"/>
          <w:kern w:val="2"/>
          <w:sz w:val="32"/>
          <w:szCs w:val="24"/>
          <w:lang w:val="zh-CN"/>
        </w:rPr>
        <w:t>支出</w:t>
      </w:r>
      <w:r>
        <w:rPr>
          <w:rFonts w:hint="eastAsia" w:ascii="仿宋_GB2312" w:hAnsi="仿宋_GB2312" w:eastAsia="仿宋_GB2312"/>
          <w:color w:val="000000"/>
          <w:kern w:val="2"/>
          <w:sz w:val="32"/>
          <w:szCs w:val="24"/>
        </w:rPr>
        <w:t>0.52</w:t>
      </w:r>
      <w:r>
        <w:rPr>
          <w:rFonts w:hint="eastAsia" w:ascii="仿宋_GB2312" w:hAnsi="仿宋_GB2312" w:eastAsia="仿宋_GB2312"/>
          <w:color w:val="000000"/>
          <w:kern w:val="2"/>
          <w:sz w:val="32"/>
          <w:szCs w:val="24"/>
          <w:lang w:val="zh-CN"/>
        </w:rPr>
        <w:t>万元。主要用于执行公务、开展业务活动开支的交通费、住宿费、用餐费。国内公务接待</w:t>
      </w:r>
      <w:r>
        <w:rPr>
          <w:rFonts w:hint="eastAsia" w:ascii="仿宋_GB2312" w:hAnsi="仿宋_GB2312" w:eastAsia="仿宋_GB2312"/>
          <w:color w:val="000000"/>
          <w:kern w:val="2"/>
          <w:sz w:val="32"/>
          <w:szCs w:val="24"/>
        </w:rPr>
        <w:t>13</w:t>
      </w:r>
      <w:r>
        <w:rPr>
          <w:rFonts w:hint="eastAsia" w:ascii="仿宋_GB2312" w:hAnsi="仿宋_GB2312" w:eastAsia="仿宋_GB2312"/>
          <w:color w:val="000000"/>
          <w:kern w:val="2"/>
          <w:sz w:val="32"/>
          <w:szCs w:val="24"/>
          <w:lang w:val="zh-CN"/>
        </w:rPr>
        <w:t>批次，</w:t>
      </w:r>
      <w:r>
        <w:rPr>
          <w:rFonts w:hint="eastAsia" w:ascii="仿宋_GB2312" w:hAnsi="仿宋_GB2312" w:eastAsia="仿宋_GB2312"/>
          <w:color w:val="000000"/>
          <w:kern w:val="2"/>
          <w:sz w:val="32"/>
          <w:szCs w:val="24"/>
        </w:rPr>
        <w:t>72</w:t>
      </w:r>
      <w:r>
        <w:rPr>
          <w:rFonts w:hint="eastAsia" w:ascii="仿宋_GB2312" w:hAnsi="仿宋_GB2312" w:eastAsia="仿宋_GB2312"/>
          <w:color w:val="000000"/>
          <w:kern w:val="2"/>
          <w:sz w:val="32"/>
          <w:szCs w:val="24"/>
          <w:lang w:val="zh-CN"/>
        </w:rPr>
        <w:t>人次，共计支出</w:t>
      </w:r>
      <w:r>
        <w:rPr>
          <w:rFonts w:hint="eastAsia" w:ascii="仿宋_GB2312" w:hAnsi="仿宋_GB2312" w:eastAsia="仿宋_GB2312"/>
          <w:color w:val="000000"/>
          <w:kern w:val="2"/>
          <w:sz w:val="32"/>
          <w:szCs w:val="24"/>
        </w:rPr>
        <w:t>0.52</w:t>
      </w:r>
      <w:r>
        <w:rPr>
          <w:rFonts w:hint="eastAsia" w:ascii="仿宋_GB2312" w:hAnsi="仿宋_GB2312" w:eastAsia="仿宋_GB2312"/>
          <w:color w:val="000000"/>
          <w:kern w:val="2"/>
          <w:sz w:val="32"/>
          <w:szCs w:val="24"/>
          <w:lang w:val="zh-CN"/>
        </w:rPr>
        <w:t>万元，具体内容包括：</w:t>
      </w:r>
      <w:r>
        <w:rPr>
          <w:rFonts w:hint="eastAsia" w:ascii="仿宋_GB2312" w:eastAsia="仿宋_GB2312"/>
          <w:color w:val="000000"/>
          <w:sz w:val="32"/>
          <w:szCs w:val="24"/>
        </w:rPr>
        <w:t>执纪审查调研、办案指导、纪检监察工作宣传等业务活动开支的交通费、住宿费、用餐费等。</w:t>
      </w:r>
    </w:p>
    <w:p>
      <w:pPr>
        <w:keepNext/>
        <w:keepLines/>
        <w:spacing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lang w:val="zh-CN"/>
        </w:rPr>
        <w:t>外事接待</w:t>
      </w:r>
      <w:r>
        <w:rPr>
          <w:rFonts w:hint="eastAsia" w:ascii="仿宋_GB2312" w:hAnsi="仿宋_GB2312" w:eastAsia="仿宋_GB2312"/>
          <w:color w:val="000000"/>
          <w:kern w:val="2"/>
          <w:sz w:val="32"/>
          <w:szCs w:val="24"/>
          <w:lang w:val="zh-CN"/>
        </w:rPr>
        <w:t>支出</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万元，外事接待</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批次，</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人，共计支出</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万元。</w:t>
      </w:r>
      <w:r>
        <w:rPr>
          <w:rFonts w:hint="eastAsia" w:ascii="仿宋_GB2312" w:hAnsi="仿宋_GB2312" w:eastAsia="仿宋_GB2312"/>
          <w:color w:val="000000"/>
          <w:kern w:val="2"/>
          <w:sz w:val="32"/>
          <w:szCs w:val="24"/>
        </w:rPr>
        <w:t xml:space="preserve"> </w:t>
      </w:r>
    </w:p>
    <w:p>
      <w:pPr>
        <w:keepNext/>
        <w:keepLines/>
        <w:spacing w:line="576" w:lineRule="exact"/>
        <w:ind w:firstLine="640" w:firstLineChars="200"/>
        <w:jc w:val="both"/>
        <w:rPr>
          <w:rFonts w:hint="default" w:ascii="黑体" w:hAnsi="黑体" w:eastAsia="黑体"/>
          <w:b/>
          <w:kern w:val="2"/>
          <w:sz w:val="32"/>
          <w:szCs w:val="24"/>
          <w:lang w:val="zh-CN"/>
        </w:rPr>
      </w:pPr>
      <w:r>
        <w:rPr>
          <w:rFonts w:hint="default" w:ascii="黑体" w:hAnsi="黑体" w:eastAsia="黑体"/>
          <w:color w:val="000000"/>
          <w:kern w:val="2"/>
          <w:sz w:val="32"/>
          <w:szCs w:val="24"/>
          <w:lang w:val="zh-CN"/>
        </w:rPr>
        <w:t>八、</w:t>
      </w:r>
      <w:r>
        <w:rPr>
          <w:rFonts w:hint="default" w:ascii="黑体" w:hAnsi="黑体" w:eastAsia="黑体"/>
          <w:kern w:val="2"/>
          <w:sz w:val="32"/>
          <w:szCs w:val="24"/>
          <w:lang w:val="zh-CN"/>
        </w:rPr>
        <w:t>政府性基金预算支出决算情况说明</w:t>
      </w:r>
    </w:p>
    <w:p>
      <w:pPr>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2022年政府性基金预算拨款支出</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万元。</w:t>
      </w:r>
    </w:p>
    <w:p>
      <w:pPr>
        <w:keepNext/>
        <w:keepLines/>
        <w:spacing w:line="576" w:lineRule="exact"/>
        <w:ind w:firstLine="640"/>
        <w:jc w:val="both"/>
        <w:rPr>
          <w:rFonts w:hint="default" w:ascii="黑体" w:hAnsi="黑体" w:eastAsia="黑体"/>
          <w:kern w:val="2"/>
          <w:sz w:val="32"/>
          <w:szCs w:val="24"/>
          <w:lang w:val="zh-CN"/>
        </w:rPr>
      </w:pPr>
      <w:r>
        <w:rPr>
          <w:rFonts w:hint="eastAsia" w:ascii="仿宋_GB2312" w:hAnsi="仿宋_GB2312" w:eastAsia="仿宋_GB2312"/>
          <w:i/>
          <w:color w:val="FF0000"/>
          <w:kern w:val="2"/>
          <w:sz w:val="32"/>
          <w:szCs w:val="24"/>
        </w:rPr>
        <w:t xml:space="preserve"> </w:t>
      </w:r>
      <w:r>
        <w:rPr>
          <w:rFonts w:hint="default" w:ascii="黑体" w:hAnsi="黑体" w:eastAsia="黑体"/>
          <w:kern w:val="2"/>
          <w:sz w:val="32"/>
          <w:szCs w:val="24"/>
          <w:lang w:val="zh-CN"/>
        </w:rPr>
        <w:t>九、国有资本经营预算支出决算情况说明</w:t>
      </w:r>
    </w:p>
    <w:p>
      <w:pPr>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2022年国有资本经营预算拨款支出</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万元。</w:t>
      </w:r>
    </w:p>
    <w:p>
      <w:pPr>
        <w:keepNext/>
        <w:keepLines/>
        <w:spacing w:line="576" w:lineRule="exact"/>
        <w:ind w:firstLine="640"/>
        <w:jc w:val="both"/>
        <w:rPr>
          <w:rFonts w:hint="default" w:ascii="黑体" w:hAnsi="黑体" w:eastAsia="黑体"/>
          <w:b/>
          <w:kern w:val="2"/>
          <w:sz w:val="32"/>
          <w:szCs w:val="24"/>
          <w:lang w:val="zh-CN"/>
        </w:rPr>
      </w:pPr>
      <w:r>
        <w:rPr>
          <w:rFonts w:hint="eastAsia" w:ascii="仿宋_GB2312" w:hAnsi="仿宋_GB2312" w:eastAsia="仿宋_GB2312"/>
          <w:b/>
          <w:i/>
          <w:color w:val="FF0000"/>
          <w:kern w:val="2"/>
          <w:sz w:val="32"/>
          <w:szCs w:val="24"/>
        </w:rPr>
        <w:t xml:space="preserve"> </w:t>
      </w:r>
      <w:r>
        <w:rPr>
          <w:rFonts w:hint="default" w:ascii="黑体" w:hAnsi="黑体" w:eastAsia="黑体"/>
          <w:color w:val="000000"/>
          <w:kern w:val="2"/>
          <w:sz w:val="32"/>
          <w:szCs w:val="24"/>
          <w:lang w:val="zh-CN"/>
        </w:rPr>
        <w:t>十</w:t>
      </w:r>
      <w:r>
        <w:rPr>
          <w:rFonts w:hint="default" w:ascii="黑体" w:hAnsi="黑体" w:eastAsia="黑体"/>
          <w:b/>
          <w:kern w:val="2"/>
          <w:sz w:val="32"/>
          <w:szCs w:val="24"/>
          <w:lang w:val="zh-CN"/>
        </w:rPr>
        <w:t>、</w:t>
      </w:r>
      <w:r>
        <w:rPr>
          <w:rFonts w:hint="default" w:ascii="黑体" w:hAnsi="黑体" w:eastAsia="黑体"/>
          <w:kern w:val="2"/>
          <w:sz w:val="32"/>
          <w:szCs w:val="24"/>
          <w:lang w:val="zh-CN"/>
        </w:rPr>
        <w:t>其他重要事项的情况说明</w:t>
      </w:r>
    </w:p>
    <w:p>
      <w:pPr>
        <w:keepNext/>
        <w:keepLines/>
        <w:spacing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（一）机关运行经费支出情况</w:t>
      </w:r>
    </w:p>
    <w:p>
      <w:pPr>
        <w:spacing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2022年，市纪委监委机关运行经费支出</w:t>
      </w:r>
      <w:r>
        <w:rPr>
          <w:rFonts w:hint="eastAsia" w:ascii="仿宋_GB2312" w:hAnsi="仿宋_GB2312" w:eastAsia="仿宋_GB2312"/>
          <w:color w:val="000000"/>
          <w:kern w:val="2"/>
          <w:sz w:val="32"/>
          <w:szCs w:val="24"/>
        </w:rPr>
        <w:t>463.64</w:t>
      </w:r>
      <w:r>
        <w:rPr>
          <w:rFonts w:hint="eastAsia" w:ascii="仿宋_GB2312" w:hAnsi="仿宋_GB2312" w:eastAsia="仿宋_GB2312"/>
          <w:color w:val="000000"/>
          <w:kern w:val="2"/>
          <w:sz w:val="32"/>
          <w:szCs w:val="24"/>
          <w:lang w:val="zh-CN"/>
        </w:rPr>
        <w:t>万元，比2021年减少</w:t>
      </w:r>
      <w:r>
        <w:rPr>
          <w:rFonts w:hint="eastAsia" w:ascii="仿宋_GB2312" w:hAnsi="仿宋_GB2312" w:eastAsia="仿宋_GB2312"/>
          <w:color w:val="000000"/>
          <w:kern w:val="2"/>
          <w:sz w:val="32"/>
          <w:szCs w:val="24"/>
        </w:rPr>
        <w:t>50.43</w:t>
      </w:r>
      <w:r>
        <w:rPr>
          <w:rFonts w:hint="eastAsia" w:ascii="仿宋_GB2312" w:hAnsi="仿宋_GB2312" w:eastAsia="仿宋_GB2312"/>
          <w:color w:val="000000"/>
          <w:kern w:val="2"/>
          <w:sz w:val="32"/>
          <w:szCs w:val="24"/>
          <w:lang w:val="zh-CN"/>
        </w:rPr>
        <w:t>万元，下降</w:t>
      </w:r>
      <w:r>
        <w:rPr>
          <w:rFonts w:hint="eastAsia" w:ascii="仿宋_GB2312" w:hAnsi="仿宋_GB2312" w:eastAsia="仿宋_GB2312"/>
          <w:color w:val="000000"/>
          <w:kern w:val="2"/>
          <w:sz w:val="32"/>
          <w:szCs w:val="24"/>
        </w:rPr>
        <w:t>9.81</w:t>
      </w:r>
      <w:r>
        <w:rPr>
          <w:rFonts w:hint="eastAsia" w:ascii="仿宋_GB2312" w:hAnsi="仿宋_GB2312" w:eastAsia="仿宋_GB2312"/>
          <w:color w:val="000000"/>
          <w:kern w:val="2"/>
          <w:sz w:val="32"/>
          <w:szCs w:val="24"/>
          <w:lang w:val="zh-CN"/>
        </w:rPr>
        <w:t>%</w:t>
      </w:r>
      <w:r>
        <w:rPr>
          <w:rFonts w:hint="eastAsia" w:ascii="仿宋_GB2312" w:hAnsi="仿宋_GB2312" w:eastAsia="仿宋_GB2312"/>
          <w:b/>
          <w:color w:val="000000"/>
          <w:kern w:val="2"/>
          <w:sz w:val="32"/>
          <w:szCs w:val="24"/>
          <w:lang w:val="zh-CN"/>
        </w:rPr>
        <w:t>。</w:t>
      </w:r>
      <w:r>
        <w:rPr>
          <w:rFonts w:hint="eastAsia" w:ascii="仿宋_GB2312" w:hAnsi="仿宋_GB2312" w:eastAsia="仿宋_GB2312"/>
          <w:color w:val="000000"/>
          <w:kern w:val="2"/>
          <w:sz w:val="32"/>
          <w:szCs w:val="24"/>
          <w:lang w:val="zh-CN"/>
        </w:rPr>
        <w:t>主要原因是厉行节约，压缩一般性支出。</w:t>
      </w:r>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i/>
          <w:color w:val="FF0000"/>
          <w:kern w:val="2"/>
          <w:sz w:val="32"/>
          <w:szCs w:val="24"/>
        </w:rPr>
        <w:t xml:space="preserve"> </w:t>
      </w:r>
      <w:r>
        <w:rPr>
          <w:rFonts w:hint="eastAsia" w:ascii="仿宋_GB2312" w:hAnsi="仿宋_GB2312" w:eastAsia="仿宋_GB2312"/>
          <w:b/>
          <w:color w:val="000000"/>
          <w:kern w:val="2"/>
          <w:sz w:val="32"/>
          <w:szCs w:val="24"/>
          <w:lang w:val="zh-CN"/>
        </w:rPr>
        <w:t>（二）政府采购支出情况</w:t>
      </w:r>
    </w:p>
    <w:p>
      <w:pPr>
        <w:spacing w:line="576" w:lineRule="exact"/>
        <w:ind w:firstLine="640"/>
        <w:jc w:val="both"/>
        <w:rPr>
          <w:rFonts w:hint="eastAsia" w:ascii="仿宋_GB2312" w:hAnsi="仿宋_GB2312" w:eastAsia="仿宋_GB2312"/>
          <w:b/>
          <w:color w:val="FF0000"/>
          <w:kern w:val="2"/>
          <w:sz w:val="32"/>
          <w:szCs w:val="24"/>
        </w:rPr>
      </w:pPr>
      <w:r>
        <w:rPr>
          <w:rFonts w:hint="eastAsia" w:ascii="仿宋_GB2312" w:hAnsi="仿宋_GB2312" w:eastAsia="仿宋_GB2312"/>
          <w:color w:val="000000"/>
          <w:kern w:val="2"/>
          <w:sz w:val="32"/>
          <w:szCs w:val="24"/>
          <w:lang w:val="zh-CN"/>
        </w:rPr>
        <w:t>2022年，市纪委监委机关政府采购支出总额</w:t>
      </w:r>
      <w:r>
        <w:rPr>
          <w:rFonts w:hint="eastAsia" w:ascii="仿宋_GB2312" w:hAnsi="仿宋_GB2312" w:eastAsia="仿宋_GB2312"/>
          <w:color w:val="000000"/>
          <w:kern w:val="2"/>
          <w:sz w:val="32"/>
          <w:szCs w:val="24"/>
        </w:rPr>
        <w:t>32.58</w:t>
      </w:r>
      <w:r>
        <w:rPr>
          <w:rFonts w:hint="eastAsia" w:ascii="仿宋_GB2312" w:hAnsi="仿宋_GB2312" w:eastAsia="仿宋_GB2312"/>
          <w:color w:val="000000"/>
          <w:kern w:val="2"/>
          <w:sz w:val="32"/>
          <w:szCs w:val="24"/>
          <w:lang w:val="zh-CN"/>
        </w:rPr>
        <w:t>万元，其中：政府采购货物支出</w:t>
      </w:r>
      <w:r>
        <w:rPr>
          <w:rFonts w:hint="eastAsia" w:ascii="仿宋_GB2312" w:hAnsi="仿宋_GB2312" w:eastAsia="仿宋_GB2312"/>
          <w:color w:val="000000"/>
          <w:kern w:val="2"/>
          <w:sz w:val="32"/>
          <w:szCs w:val="24"/>
        </w:rPr>
        <w:t>32.58</w:t>
      </w:r>
      <w:r>
        <w:rPr>
          <w:rFonts w:hint="eastAsia" w:ascii="仿宋_GB2312" w:hAnsi="仿宋_GB2312" w:eastAsia="仿宋_GB2312"/>
          <w:color w:val="000000"/>
          <w:kern w:val="2"/>
          <w:sz w:val="32"/>
          <w:szCs w:val="24"/>
          <w:lang w:val="zh-CN"/>
        </w:rPr>
        <w:t>万元、政府采购工程支出</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万元、政府采购服务支出</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万元。主要用于办公复印设备购置，授予中小企业合同金额</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万元，占政府采购支出总额的</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%，其中：授予小微企业合同金额</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万元，占授予中小企业合同金额的</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%；货物采购授予中小企业合同金额占货物支出金额的</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%，工程采购授予中小企业合同金额占工程支出金额的</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%，服务采购授予中小企业合同金额占服务支出金额的</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w:t>
      </w:r>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（三）国有资产占有使用情况</w:t>
      </w:r>
    </w:p>
    <w:p>
      <w:pPr>
        <w:spacing w:line="576" w:lineRule="exact"/>
        <w:ind w:firstLine="640"/>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lang w:val="zh-CN"/>
        </w:rPr>
        <w:t>截至2022年12月31日，市纪委监委机关共有车辆</w:t>
      </w:r>
      <w:r>
        <w:rPr>
          <w:rFonts w:hint="eastAsia" w:ascii="仿宋_GB2312" w:hAnsi="仿宋_GB2312" w:eastAsia="仿宋_GB2312"/>
          <w:color w:val="000000"/>
          <w:kern w:val="2"/>
          <w:sz w:val="32"/>
          <w:szCs w:val="24"/>
        </w:rPr>
        <w:t>14</w:t>
      </w:r>
      <w:r>
        <w:rPr>
          <w:rFonts w:hint="eastAsia" w:ascii="仿宋_GB2312" w:hAnsi="仿宋_GB2312" w:eastAsia="仿宋_GB2312"/>
          <w:color w:val="000000"/>
          <w:kern w:val="2"/>
          <w:sz w:val="32"/>
          <w:szCs w:val="24"/>
          <w:lang w:val="zh-CN"/>
        </w:rPr>
        <w:t>辆，其中：副部（省）级及以上领导用车</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辆、主要领导干部用车</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辆、机要通信用车</w:t>
      </w:r>
      <w:r>
        <w:rPr>
          <w:rFonts w:hint="eastAsia" w:ascii="仿宋_GB2312" w:hAnsi="仿宋_GB2312" w:eastAsia="仿宋_GB2312"/>
          <w:color w:val="000000"/>
          <w:kern w:val="2"/>
          <w:sz w:val="32"/>
          <w:szCs w:val="24"/>
        </w:rPr>
        <w:t>1</w:t>
      </w:r>
      <w:r>
        <w:rPr>
          <w:rFonts w:hint="eastAsia" w:ascii="仿宋_GB2312" w:hAnsi="仿宋_GB2312" w:eastAsia="仿宋_GB2312"/>
          <w:color w:val="000000"/>
          <w:kern w:val="2"/>
          <w:sz w:val="32"/>
          <w:szCs w:val="24"/>
          <w:lang w:val="zh-CN"/>
        </w:rPr>
        <w:t>辆、应急保障用车</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辆、执法执勤用车</w:t>
      </w:r>
      <w:r>
        <w:rPr>
          <w:rFonts w:hint="eastAsia" w:ascii="仿宋_GB2312" w:hAnsi="仿宋_GB2312" w:eastAsia="仿宋_GB2312"/>
          <w:color w:val="000000"/>
          <w:kern w:val="2"/>
          <w:sz w:val="32"/>
          <w:szCs w:val="24"/>
        </w:rPr>
        <w:t>13</w:t>
      </w:r>
      <w:r>
        <w:rPr>
          <w:rFonts w:hint="eastAsia" w:ascii="仿宋_GB2312" w:hAnsi="仿宋_GB2312" w:eastAsia="仿宋_GB2312"/>
          <w:color w:val="000000"/>
          <w:kern w:val="2"/>
          <w:sz w:val="32"/>
          <w:szCs w:val="24"/>
          <w:lang w:val="zh-CN"/>
        </w:rPr>
        <w:t>辆、特种专业技术用车</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辆、离退休干部用车</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辆、其他用车</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辆。</w:t>
      </w:r>
      <w:r>
        <w:rPr>
          <w:rFonts w:hint="eastAsia" w:ascii="仿宋_GB2312" w:hAnsi="仿宋_GB2312" w:eastAsia="仿宋_GB2312"/>
          <w:color w:val="000000"/>
          <w:kern w:val="2"/>
          <w:sz w:val="32"/>
          <w:szCs w:val="24"/>
        </w:rPr>
        <w:t xml:space="preserve"> </w:t>
      </w:r>
    </w:p>
    <w:p>
      <w:pPr>
        <w:spacing w:line="576" w:lineRule="exact"/>
        <w:ind w:firstLine="640"/>
        <w:rPr>
          <w:rFonts w:hint="eastAsia" w:ascii="仿宋_GB2312" w:hAnsi="仿宋_GB2312" w:eastAsia="仿宋_GB2312"/>
          <w:b/>
          <w:color w:val="FF0000"/>
          <w:kern w:val="2"/>
          <w:sz w:val="32"/>
          <w:szCs w:val="24"/>
        </w:rPr>
      </w:pPr>
      <w:r>
        <w:rPr>
          <w:rFonts w:hint="eastAsia" w:ascii="仿宋_GB2312" w:hAnsi="仿宋_GB2312" w:eastAsia="仿宋_GB2312"/>
          <w:color w:val="000000"/>
          <w:kern w:val="2"/>
          <w:sz w:val="32"/>
          <w:szCs w:val="24"/>
          <w:lang w:val="zh-CN"/>
        </w:rPr>
        <w:t>单价100万元（含）以上设备</w:t>
      </w:r>
      <w:r>
        <w:rPr>
          <w:rFonts w:hint="eastAsia" w:ascii="仿宋_GB2312" w:hAnsi="仿宋_GB2312" w:eastAsia="仿宋_GB2312"/>
          <w:color w:val="000000"/>
          <w:kern w:val="2"/>
          <w:sz w:val="32"/>
          <w:szCs w:val="24"/>
        </w:rPr>
        <w:t>0</w:t>
      </w:r>
      <w:r>
        <w:rPr>
          <w:rFonts w:hint="eastAsia" w:ascii="仿宋_GB2312" w:hAnsi="仿宋_GB2312" w:eastAsia="仿宋_GB2312"/>
          <w:color w:val="000000"/>
          <w:kern w:val="2"/>
          <w:sz w:val="32"/>
          <w:szCs w:val="24"/>
          <w:lang w:val="zh-CN"/>
        </w:rPr>
        <w:t>台（套)。</w:t>
      </w:r>
      <w:r>
        <w:rPr>
          <w:rFonts w:hint="eastAsia" w:ascii="仿宋_GB2312" w:hAnsi="仿宋_GB2312" w:eastAsia="仿宋_GB2312"/>
          <w:b/>
          <w:i/>
          <w:color w:val="FF0000"/>
          <w:kern w:val="2"/>
          <w:sz w:val="32"/>
          <w:szCs w:val="24"/>
        </w:rPr>
        <w:t xml:space="preserve"> </w:t>
      </w:r>
    </w:p>
    <w:p>
      <w:pPr>
        <w:keepNext/>
        <w:keepLines/>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（四）预算绩效管理情况</w:t>
      </w:r>
    </w:p>
    <w:p>
      <w:pPr>
        <w:spacing w:line="576" w:lineRule="exact"/>
        <w:ind w:firstLine="640" w:firstLineChars="200"/>
        <w:rPr>
          <w:rFonts w:hint="eastAsia" w:ascii="仿宋_GB2312" w:hAnsi="仿宋_GB2312" w:eastAsia="仿宋_GB2312"/>
          <w:b/>
          <w:i/>
          <w:color w:val="FF0000"/>
          <w:kern w:val="2"/>
          <w:sz w:val="32"/>
          <w:szCs w:val="24"/>
        </w:rPr>
      </w:pPr>
      <w:r>
        <w:rPr>
          <w:rFonts w:hint="eastAsia" w:ascii="仿宋_GB2312" w:hAnsi="仿宋_GB2312" w:eastAsia="仿宋_GB2312"/>
          <w:kern w:val="2"/>
          <w:sz w:val="32"/>
          <w:szCs w:val="24"/>
        </w:rPr>
        <w:t>根据预算绩效管理要求，本部门在2022年度预算编制阶段，组织对7个特定目标类项目编制了绩效目标（涉密5个），预算执行过程中，选取2个项目开展绩效监控，年终执行完毕后，对</w:t>
      </w:r>
      <w:r>
        <w:rPr>
          <w:rFonts w:hint="eastAsia" w:ascii="仿宋_GB2312" w:hAnsi="仿宋_GB2312" w:eastAsia="仿宋_GB2312"/>
          <w:sz w:val="32"/>
          <w:szCs w:val="24"/>
        </w:rPr>
        <w:t>干部培训专项经费项目、党风廉政建设和反腐败工作宣传经费项目等</w:t>
      </w:r>
      <w:r>
        <w:rPr>
          <w:rFonts w:hint="eastAsia" w:ascii="仿宋_GB2312" w:hAnsi="仿宋_GB2312" w:eastAsia="仿宋_GB2312"/>
          <w:kern w:val="2"/>
          <w:sz w:val="32"/>
          <w:szCs w:val="24"/>
        </w:rPr>
        <w:t>2个项目开展了绩效自评。同时，</w:t>
      </w:r>
      <w:r>
        <w:rPr>
          <w:rFonts w:hint="eastAsia" w:ascii="仿宋_GB2312" w:hAnsi="仿宋_GB2312" w:eastAsia="仿宋_GB2312"/>
          <w:sz w:val="32"/>
          <w:szCs w:val="24"/>
        </w:rPr>
        <w:t>组织对2022年度一般公共预算支出全面开展绩效自评，形成中共雅安市纪律检查委员会部门整体支出（含部门预算项目）绩效自评报告、干部培训专项经费项目、党风廉政建设和反腐败工作宣传经费项目预算绩效自评报告，其中，中共雅安市纪律检查委员会部门整体支出（含部门预算项目）绩效自评得分为95分，绩效自评综述：2022年度，市纪委监委加强部门支出控制和预算执行，圆满完成了部门整体绩效目标，部门整体支出绩效良好。</w:t>
      </w:r>
      <w:r>
        <w:rPr>
          <w:rFonts w:hint="eastAsia" w:ascii="仿宋_GB2312" w:hAnsi="仿宋_GB2312" w:eastAsia="仿宋_GB2312"/>
          <w:kern w:val="2"/>
          <w:sz w:val="32"/>
          <w:szCs w:val="24"/>
        </w:rPr>
        <w:t>本部门对2022年部门整体支出开展绩效自评，《2022年中共雅安市纪律检查委员会部门整体支出绩效评价报告》见附件（第四部分）。绩效自评报告详见附件。</w:t>
      </w:r>
    </w:p>
    <w:p>
      <w:pPr>
        <w:spacing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br w:type="page"/>
      </w:r>
    </w:p>
    <w:p>
      <w:pPr>
        <w:keepNext/>
        <w:keepLines/>
        <w:spacing w:line="576" w:lineRule="exact"/>
        <w:jc w:val="center"/>
        <w:rPr>
          <w:rFonts w:hint="default" w:ascii="黑体" w:hAnsi="黑体" w:eastAsia="黑体"/>
          <w:kern w:val="44"/>
          <w:sz w:val="44"/>
          <w:szCs w:val="24"/>
          <w:lang w:val="zh-CN"/>
        </w:rPr>
      </w:pPr>
      <w:r>
        <w:rPr>
          <w:rFonts w:hint="default" w:ascii="黑体" w:hAnsi="黑体" w:eastAsia="黑体"/>
          <w:color w:val="000000"/>
          <w:kern w:val="2"/>
          <w:sz w:val="44"/>
          <w:szCs w:val="24"/>
          <w:lang w:val="zh-CN"/>
        </w:rPr>
        <w:t>第三部分 名</w:t>
      </w:r>
      <w:r>
        <w:rPr>
          <w:rFonts w:hint="default" w:ascii="黑体" w:hAnsi="黑体" w:eastAsia="黑体"/>
          <w:kern w:val="44"/>
          <w:sz w:val="44"/>
          <w:szCs w:val="24"/>
          <w:lang w:val="zh-CN"/>
        </w:rPr>
        <w:t>词解释</w:t>
      </w:r>
    </w:p>
    <w:p>
      <w:pPr>
        <w:spacing w:line="576" w:lineRule="exact"/>
        <w:ind w:firstLine="640"/>
        <w:rPr>
          <w:rFonts w:hint="eastAsia" w:ascii="仿宋_GB2312" w:hAnsi="仿宋_GB2312" w:eastAsia="仿宋_GB2312"/>
          <w:color w:val="000000"/>
          <w:sz w:val="32"/>
          <w:szCs w:val="24"/>
        </w:rPr>
      </w:pP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一、财政拨款收入：指单位从同级财政部门取得的财政预算资金。</w:t>
      </w:r>
    </w:p>
    <w:p>
      <w:pPr>
        <w:spacing w:line="576" w:lineRule="exact"/>
        <w:ind w:firstLine="640"/>
        <w:rPr>
          <w:rFonts w:hint="eastAsia" w:ascii="仿宋_GB2312" w:hAnsi="仿宋_GB2312" w:eastAsia="仿宋_GB2312"/>
          <w:b/>
          <w:color w:val="FF0000"/>
          <w:sz w:val="32"/>
          <w:szCs w:val="24"/>
        </w:rPr>
      </w:pPr>
      <w:r>
        <w:rPr>
          <w:rFonts w:hint="eastAsia" w:ascii="仿宋_GB2312" w:hAnsi="仿宋_GB2312" w:eastAsia="仿宋_GB2312"/>
          <w:color w:val="000000"/>
          <w:sz w:val="32"/>
          <w:szCs w:val="24"/>
        </w:rPr>
        <w:t>二、事业收入：指事业单位开展专业业务活动及辅助活动取得的收入。</w:t>
      </w:r>
    </w:p>
    <w:p>
      <w:pPr>
        <w:spacing w:line="576" w:lineRule="exact"/>
        <w:ind w:firstLine="640"/>
        <w:rPr>
          <w:rFonts w:hint="eastAsia" w:ascii="仿宋_GB2312" w:hAnsi="仿宋_GB2312" w:eastAsia="仿宋_GB2312"/>
          <w:b/>
          <w:color w:val="FF0000"/>
          <w:sz w:val="32"/>
          <w:szCs w:val="24"/>
        </w:rPr>
      </w:pPr>
      <w:r>
        <w:rPr>
          <w:rFonts w:hint="eastAsia" w:ascii="仿宋_GB2312" w:hAnsi="仿宋_GB2312" w:eastAsia="仿宋_GB2312"/>
          <w:color w:val="000000"/>
          <w:sz w:val="32"/>
          <w:szCs w:val="24"/>
        </w:rPr>
        <w:t>三、经营收入：指事业单位在专业业务活动及其辅助活动之外开展非独立核算经营活动取得的收入。</w:t>
      </w:r>
    </w:p>
    <w:p>
      <w:pPr>
        <w:spacing w:line="576" w:lineRule="exact"/>
        <w:ind w:firstLine="640"/>
        <w:rPr>
          <w:rFonts w:hint="eastAsia" w:ascii="仿宋_GB2312" w:hAnsi="仿宋_GB2312" w:eastAsia="仿宋_GB2312"/>
          <w:b/>
          <w:color w:val="FF0000"/>
          <w:sz w:val="32"/>
          <w:szCs w:val="24"/>
        </w:rPr>
      </w:pPr>
      <w:r>
        <w:rPr>
          <w:rFonts w:hint="eastAsia" w:ascii="仿宋_GB2312" w:hAnsi="仿宋_GB2312" w:eastAsia="仿宋_GB2312"/>
          <w:color w:val="000000"/>
          <w:sz w:val="32"/>
          <w:szCs w:val="24"/>
        </w:rPr>
        <w:t>四、其他收入：指单位取得的除上述收入以外的各项收入。主要是利息收入0.09万元。</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 xml:space="preserve">五、使用非财政拨款结余：指事业单位使用以前年度积累的非财政拨款结余弥补当年收支差额的金额。 </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 xml:space="preserve">六、年初结转和结余：指以前年度尚未完成、结转到本年按有关规定继续使用的资金。 </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七、结余分配：指事业单位按照会计制度规定缴纳的所得税、提取的专用结余以及转入非财政拨款结余的金额等。</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八、年末结转和结余：指单位按有关规定结转到下年或以后年度继续使用的资金。</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lang w:val="zh-CN"/>
        </w:rPr>
        <w:t>九、一般公共服务支出（类）纪检监察事务（款）行政运行（项）：</w:t>
      </w:r>
      <w:r>
        <w:rPr>
          <w:rFonts w:hint="eastAsia" w:ascii="仿宋_GB2312" w:hAnsi="仿宋_GB2312" w:eastAsia="仿宋_GB2312"/>
          <w:color w:val="000000"/>
          <w:sz w:val="32"/>
          <w:szCs w:val="24"/>
        </w:rPr>
        <w:t>指反映市纪委监委机关的基本支出。</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十、一般公共服务支出（类）纪检监察事务（款）一般行政管理事务（项）: 指用于全市党风廉政建设和反腐败工作的支出。</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 xml:space="preserve">十一、一般公共服务支出（类）纪检监察事务（款）事业运行（项）: 指反映单位内部事业人员工资福利支出。  </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十二、社会保障和就业支出（类）行政事业单位养老支出（款）行政单位离退休（项）:  指反映行政单位开支的离退休经费支出。</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十三、社会保障和就业支出（类）行政事业单位养老支出（款）机关事业单位基本养老保险缴费支出（项）: 指反映机关事业单位实施养老保险制度由单位缴纳的基本养老保险费支出。</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十四、 社会保障和就业支出（类）行政事业单位养老支出（款）机关事业单位职业年金缴费支出（项）: 指反映机关事业单位实施养老保险制度由单位实际缴纳的职业年金支出。</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十五、 社会保障和就业支出（类）其他社会保障和就业支出（款）其他社会保障和就业支出（项）: 指反映单位按规定缴纳的残疾人就业保障金。</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十六、卫生健康支出（类）行政事业单位医疗（款）行政单位医疗（项）: 指行政单位缴纳的基本医疗保险费支出。</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十七、卫生健康支出（类）行政事业单位医疗（款）公务员医疗补助（项）: 指反映财政部门安排的公务员医疗补助经费。</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十八、住房保障支出（类）住房改革支出（款）住房公积金（项）:  指按人力资源和社会保障部、财政部规定的基本工资和津贴补贴以及规定比例为职工缴纳的住房公积金。</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十九、基本支出：指为保障机构正常运转、完成日常工作任务而发生的人员支出和公用支出。</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 xml:space="preserve">二十、项目支出：指在基本支出之外为完成特定行政任务和事业发展目标所发生的支出。 </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 xml:space="preserve"> 二十一、“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十二、机关运行经费：为保障行政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76" w:lineRule="exact"/>
        <w:rPr>
          <w:rFonts w:hint="eastAsia" w:ascii="仿宋_GB2312" w:hAnsi="仿宋_GB2312" w:eastAsia="仿宋_GB2312"/>
          <w:color w:val="000000"/>
          <w:sz w:val="32"/>
          <w:szCs w:val="24"/>
        </w:rPr>
      </w:pPr>
    </w:p>
    <w:p>
      <w:pPr>
        <w:keepNext/>
        <w:keepLines/>
        <w:spacing w:line="576" w:lineRule="exact"/>
        <w:jc w:val="center"/>
        <w:rPr>
          <w:rFonts w:hint="default" w:ascii="黑体" w:hAnsi="黑体" w:eastAsia="黑体"/>
          <w:kern w:val="44"/>
          <w:sz w:val="44"/>
          <w:szCs w:val="24"/>
          <w:lang w:val="zh-CN"/>
        </w:rPr>
      </w:pPr>
      <w:r>
        <w:rPr>
          <w:rFonts w:hint="eastAsia" w:ascii="仿宋_GB2312" w:hAnsi="仿宋_GB2312" w:eastAsia="仿宋_GB2312"/>
          <w:b/>
          <w:i/>
          <w:color w:val="FF0000"/>
          <w:kern w:val="2"/>
          <w:sz w:val="32"/>
          <w:szCs w:val="24"/>
        </w:rPr>
        <w:t xml:space="preserve"> </w:t>
      </w:r>
    </w:p>
    <w:p>
      <w:pPr>
        <w:keepNext/>
        <w:keepLines/>
        <w:spacing w:line="576" w:lineRule="exact"/>
        <w:jc w:val="center"/>
        <w:rPr>
          <w:rFonts w:hint="default" w:ascii="黑体" w:hAnsi="黑体" w:eastAsia="黑体"/>
          <w:kern w:val="44"/>
          <w:sz w:val="44"/>
          <w:szCs w:val="24"/>
          <w:lang w:val="zh-CN"/>
        </w:rPr>
      </w:pPr>
      <w:r>
        <w:rPr>
          <w:rFonts w:hint="default" w:ascii="黑体" w:hAnsi="黑体" w:eastAsia="黑体"/>
          <w:color w:val="000000"/>
          <w:kern w:val="2"/>
          <w:sz w:val="44"/>
          <w:szCs w:val="24"/>
          <w:lang w:val="zh-CN"/>
        </w:rPr>
        <w:t>第</w:t>
      </w:r>
      <w:r>
        <w:rPr>
          <w:rFonts w:hint="default" w:ascii="黑体" w:hAnsi="黑体" w:eastAsia="黑体"/>
          <w:kern w:val="44"/>
          <w:sz w:val="44"/>
          <w:szCs w:val="24"/>
          <w:lang w:val="zh-CN"/>
        </w:rPr>
        <w:t>四部分 附件</w:t>
      </w:r>
    </w:p>
    <w:p>
      <w:pPr>
        <w:keepNext/>
        <w:keepLines/>
        <w:spacing w:line="576" w:lineRule="exact"/>
        <w:rPr>
          <w:rFonts w:hint="default" w:ascii="黑体" w:hAnsi="黑体" w:eastAsia="黑体"/>
          <w:kern w:val="2"/>
          <w:sz w:val="32"/>
          <w:szCs w:val="24"/>
        </w:rPr>
      </w:pPr>
    </w:p>
    <w:p>
      <w:pPr>
        <w:keepNext/>
        <w:keepLines/>
        <w:spacing w:line="576" w:lineRule="exact"/>
        <w:rPr>
          <w:rFonts w:hint="eastAsia" w:ascii="方正小标宋简体" w:hAnsi="方正小标宋简体" w:eastAsia="方正小标宋简体"/>
          <w:kern w:val="2"/>
          <w:sz w:val="32"/>
          <w:szCs w:val="24"/>
        </w:rPr>
      </w:pPr>
      <w:r>
        <w:rPr>
          <w:rFonts w:hint="default" w:ascii="黑体" w:hAnsi="黑体" w:eastAsia="黑体"/>
          <w:kern w:val="2"/>
          <w:sz w:val="32"/>
          <w:szCs w:val="24"/>
        </w:rPr>
        <w:t>附件1</w:t>
      </w:r>
    </w:p>
    <w:p>
      <w:pPr>
        <w:keepNext/>
        <w:keepLines/>
        <w:spacing w:line="576" w:lineRule="exact"/>
        <w:jc w:val="center"/>
        <w:rPr>
          <w:rFonts w:hint="eastAsia" w:ascii="方正小标宋简体" w:hAnsi="方正小标宋简体" w:eastAsia="方正小标宋简体"/>
          <w:color w:val="000000"/>
          <w:sz w:val="40"/>
          <w:szCs w:val="24"/>
        </w:rPr>
      </w:pPr>
      <w:r>
        <w:rPr>
          <w:rFonts w:hint="eastAsia" w:ascii="方正小标宋简体" w:hAnsi="方正小标宋简体" w:eastAsia="方正小标宋简体"/>
          <w:color w:val="000000"/>
          <w:sz w:val="40"/>
          <w:szCs w:val="24"/>
        </w:rPr>
        <w:t>2022年中共雅安市纪律检查委员会</w:t>
      </w:r>
    </w:p>
    <w:p>
      <w:pPr>
        <w:keepNext/>
        <w:keepLines/>
        <w:spacing w:line="576" w:lineRule="exact"/>
        <w:jc w:val="center"/>
        <w:rPr>
          <w:rFonts w:hint="eastAsia" w:ascii="方正小标宋简体" w:hAnsi="方正小标宋简体" w:eastAsia="方正小标宋简体"/>
          <w:color w:val="000000"/>
          <w:sz w:val="40"/>
          <w:szCs w:val="24"/>
          <w:lang w:val="zh-CN"/>
        </w:rPr>
      </w:pPr>
      <w:r>
        <w:rPr>
          <w:rFonts w:hint="eastAsia" w:ascii="方正小标宋简体" w:hAnsi="方正小标宋简体" w:eastAsia="方正小标宋简体"/>
          <w:color w:val="000000"/>
          <w:sz w:val="40"/>
          <w:szCs w:val="24"/>
          <w:lang w:val="zh-CN"/>
        </w:rPr>
        <w:t>部门整体支出绩效评价报告</w:t>
      </w:r>
    </w:p>
    <w:p>
      <w:pPr>
        <w:keepNext/>
        <w:keepLines/>
        <w:spacing w:line="576" w:lineRule="exact"/>
        <w:ind w:firstLine="640"/>
        <w:rPr>
          <w:rFonts w:hint="eastAsia" w:ascii="仿宋_GB2312" w:hAnsi="仿宋_GB2312" w:eastAsia="仿宋_GB2312"/>
          <w:i/>
          <w:color w:val="FF0000"/>
          <w:kern w:val="2"/>
          <w:sz w:val="32"/>
          <w:szCs w:val="24"/>
        </w:rPr>
      </w:pPr>
      <w:r>
        <w:rPr>
          <w:rFonts w:hint="eastAsia" w:ascii="仿宋_GB2312" w:hAnsi="仿宋_GB2312" w:eastAsia="仿宋_GB2312"/>
          <w:i/>
          <w:color w:val="FF0000"/>
          <w:kern w:val="2"/>
          <w:sz w:val="32"/>
          <w:szCs w:val="24"/>
        </w:rPr>
        <w:t xml:space="preserve">   </w:t>
      </w:r>
    </w:p>
    <w:p>
      <w:pPr>
        <w:keepNext/>
        <w:keepLines/>
        <w:spacing w:line="576" w:lineRule="exact"/>
        <w:ind w:firstLine="640"/>
        <w:rPr>
          <w:rFonts w:hint="default" w:ascii="黑体" w:hAnsi="黑体" w:eastAsia="黑体"/>
          <w:color w:val="000000"/>
          <w:sz w:val="32"/>
          <w:szCs w:val="24"/>
          <w:lang w:val="zh-CN"/>
        </w:rPr>
      </w:pPr>
      <w:r>
        <w:rPr>
          <w:rFonts w:hint="default" w:ascii="黑体" w:hAnsi="黑体" w:eastAsia="黑体"/>
          <w:color w:val="000000"/>
          <w:sz w:val="32"/>
          <w:szCs w:val="24"/>
        </w:rPr>
        <w:t>一、</w:t>
      </w:r>
      <w:r>
        <w:rPr>
          <w:rFonts w:hint="default" w:ascii="黑体" w:hAnsi="黑体" w:eastAsia="黑体"/>
          <w:color w:val="000000"/>
          <w:sz w:val="32"/>
          <w:szCs w:val="24"/>
          <w:lang w:val="zh-CN"/>
        </w:rPr>
        <w:t>部门概况</w:t>
      </w:r>
    </w:p>
    <w:p>
      <w:pPr>
        <w:keepNext/>
        <w:keepLines/>
        <w:spacing w:line="576" w:lineRule="exact"/>
        <w:ind w:firstLine="640"/>
        <w:rPr>
          <w:rFonts w:hint="eastAsia" w:ascii="仿宋_GB2312" w:hAnsi="仿宋_GB2312" w:eastAsia="仿宋_GB2312"/>
          <w:color w:val="000000"/>
          <w:sz w:val="32"/>
          <w:szCs w:val="24"/>
          <w:lang w:val="zh-CN"/>
        </w:rPr>
      </w:pPr>
      <w:r>
        <w:rPr>
          <w:rFonts w:hint="eastAsia" w:ascii="仿宋_GB2312" w:hAnsi="仿宋_GB2312" w:eastAsia="仿宋_GB2312"/>
          <w:color w:val="000000"/>
          <w:sz w:val="32"/>
          <w:szCs w:val="24"/>
          <w:lang w:val="zh-CN"/>
        </w:rPr>
        <w:t>（一）机构组成</w:t>
      </w:r>
    </w:p>
    <w:p>
      <w:pPr>
        <w:snapToGrid w:val="0"/>
        <w:spacing w:line="576" w:lineRule="exact"/>
        <w:ind w:firstLine="640" w:firstLineChars="200"/>
        <w:rPr>
          <w:rFonts w:hint="eastAsia"/>
          <w:sz w:val="24"/>
          <w:szCs w:val="24"/>
          <w:lang w:val="zh-CN"/>
        </w:rPr>
      </w:pPr>
      <w:r>
        <w:rPr>
          <w:rFonts w:hint="eastAsia" w:ascii="仿宋_GB2312" w:hAnsi="Arial" w:eastAsia="仿宋_GB2312"/>
          <w:color w:val="000000"/>
          <w:sz w:val="32"/>
          <w:szCs w:val="24"/>
        </w:rPr>
        <w:t>中共雅安市纪律检查委员会与雅安市监察委员会合署办公，实行一套工作机构，两个机关名称，履行党的纪律检查和国家监察两项职能。内设19个室（部）和1个下属事业单位（</w:t>
      </w:r>
      <w:r>
        <w:rPr>
          <w:rFonts w:hint="eastAsia" w:ascii="仿宋_GB2312" w:eastAsia="仿宋_GB2312"/>
          <w:sz w:val="32"/>
          <w:szCs w:val="24"/>
        </w:rPr>
        <w:t>留置管理中心</w:t>
      </w:r>
      <w:r>
        <w:rPr>
          <w:rFonts w:hint="eastAsia" w:ascii="仿宋_GB2312" w:hAnsi="Arial" w:eastAsia="仿宋_GB2312"/>
          <w:color w:val="000000"/>
          <w:sz w:val="32"/>
          <w:szCs w:val="24"/>
        </w:rPr>
        <w:t>）。为一级预算单位，无下属二级预算单位。</w:t>
      </w:r>
    </w:p>
    <w:p>
      <w:pPr>
        <w:keepNext/>
        <w:keepLines/>
        <w:numPr>
          <w:ilvl w:val="0"/>
          <w:numId w:val="4"/>
        </w:numPr>
        <w:spacing w:line="576" w:lineRule="exact"/>
        <w:ind w:firstLine="640"/>
        <w:rPr>
          <w:rFonts w:hint="eastAsia" w:ascii="仿宋_GB2312" w:hAnsi="仿宋_GB2312" w:eastAsia="仿宋_GB2312"/>
          <w:color w:val="000000"/>
          <w:sz w:val="32"/>
          <w:szCs w:val="24"/>
          <w:lang w:val="zh-CN"/>
        </w:rPr>
      </w:pPr>
      <w:r>
        <w:rPr>
          <w:rFonts w:hint="eastAsia" w:ascii="仿宋_GB2312" w:hAnsi="仿宋_GB2312" w:eastAsia="仿宋_GB2312"/>
          <w:color w:val="000000"/>
          <w:sz w:val="32"/>
          <w:szCs w:val="24"/>
          <w:lang w:val="zh-CN"/>
        </w:rPr>
        <w:t>机构职能</w:t>
      </w:r>
    </w:p>
    <w:p>
      <w:pPr>
        <w:spacing w:line="576" w:lineRule="exact"/>
        <w:ind w:firstLine="646"/>
        <w:rPr>
          <w:rFonts w:hint="eastAsia" w:ascii="仿宋_GB2312" w:hAnsi="??" w:eastAsia="仿宋_GB2312"/>
          <w:sz w:val="32"/>
          <w:szCs w:val="24"/>
        </w:rPr>
      </w:pPr>
      <w:r>
        <w:rPr>
          <w:rFonts w:hint="eastAsia" w:ascii="仿宋_GB2312" w:hAnsi="??" w:eastAsia="仿宋_GB2312"/>
          <w:sz w:val="32"/>
          <w:szCs w:val="24"/>
        </w:rPr>
        <w:t>1.负责党的纪律检查工作。贯彻落实党中央关于纪律检查工作的决定，维护党的章程和其他党内法规，检查党的路线方针政策和决议的执行情况，协助市委推进全面从严治党、加强党风建设和组织协调反腐败工作。</w:t>
      </w:r>
    </w:p>
    <w:p>
      <w:pPr>
        <w:spacing w:line="576" w:lineRule="exact"/>
        <w:ind w:firstLine="646"/>
        <w:rPr>
          <w:rFonts w:hint="eastAsia" w:ascii="仿宋_GB2312" w:eastAsia="仿宋_GB2312"/>
          <w:color w:val="000000"/>
          <w:sz w:val="32"/>
          <w:szCs w:val="24"/>
        </w:rPr>
      </w:pPr>
      <w:r>
        <w:rPr>
          <w:rFonts w:hint="eastAsia" w:ascii="仿宋_GB2312" w:eastAsia="仿宋_GB2312"/>
          <w:color w:val="000000"/>
          <w:sz w:val="32"/>
          <w:szCs w:val="24"/>
        </w:rPr>
        <w:t>2.依照党的章程和其他党内法规履行监督、执纪、问责职责。负责经常对党员进行遵守纪律的教育，作出关于维护党纪的决定。对市委工作机关、市委批准设立的党组（党委），各县（区）党委、纪委等党的组织和市委管理的党员领导干部履行职责、行使权力进行监督，受理处置党员群众检举举报，开展谈话提醒、约谈函询。检查和处理上述党的组织和党员违反党的章程和其他党内法规的比较重要或复杂的案件，决定或者取消对这些案件中的党员的处分。进行问责或者提出责任追究的建议。受理党员的控告和申诉。保障党员的权利。</w:t>
      </w:r>
    </w:p>
    <w:p>
      <w:pPr>
        <w:spacing w:line="576" w:lineRule="exact"/>
        <w:ind w:firstLine="646"/>
        <w:rPr>
          <w:rFonts w:hint="eastAsia" w:ascii="仿宋_GB2312" w:eastAsia="仿宋_GB2312"/>
          <w:color w:val="000000"/>
          <w:sz w:val="32"/>
          <w:szCs w:val="24"/>
        </w:rPr>
      </w:pPr>
      <w:r>
        <w:rPr>
          <w:rFonts w:hint="eastAsia" w:ascii="仿宋_GB2312" w:eastAsia="仿宋_GB2312"/>
          <w:color w:val="000000"/>
          <w:sz w:val="32"/>
          <w:szCs w:val="24"/>
        </w:rPr>
        <w:t>3.负责全市监察工作。贯彻落实党中央、省委关于监察工作的决定，维护宪法法律，依法对市委管理的行使公权力的公职人员进行监察，调查职务违法和职务犯罪，开展廉政建设和反腐败工作。</w:t>
      </w:r>
    </w:p>
    <w:p>
      <w:pPr>
        <w:spacing w:line="576" w:lineRule="exact"/>
        <w:ind w:firstLine="646"/>
        <w:rPr>
          <w:rFonts w:hint="eastAsia" w:ascii="仿宋_GB2312" w:eastAsia="仿宋_GB2312"/>
          <w:color w:val="000000"/>
          <w:sz w:val="32"/>
          <w:szCs w:val="24"/>
        </w:rPr>
      </w:pPr>
      <w:r>
        <w:rPr>
          <w:rFonts w:hint="eastAsia" w:ascii="仿宋_GB2312" w:eastAsia="仿宋_GB2312"/>
          <w:color w:val="000000"/>
          <w:sz w:val="32"/>
          <w:szCs w:val="24"/>
        </w:rPr>
        <w:t>4.依照法律规定履行监督、调查、处置职责。推动开展廉政教育，对市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576" w:lineRule="exact"/>
        <w:ind w:firstLine="646"/>
        <w:rPr>
          <w:rFonts w:hint="eastAsia" w:ascii="仿宋_GB2312" w:eastAsia="仿宋_GB2312"/>
          <w:color w:val="000000"/>
          <w:sz w:val="32"/>
          <w:szCs w:val="24"/>
        </w:rPr>
      </w:pPr>
      <w:r>
        <w:rPr>
          <w:rFonts w:hint="eastAsia" w:ascii="仿宋_GB2312" w:eastAsia="仿宋_GB2312"/>
          <w:color w:val="000000"/>
          <w:sz w:val="32"/>
          <w:szCs w:val="24"/>
        </w:rPr>
        <w:t>5.负责组织协调全面从严治党、党风廉政建设和反腐败宣传教育工作。</w:t>
      </w:r>
    </w:p>
    <w:p>
      <w:pPr>
        <w:spacing w:line="576" w:lineRule="exact"/>
        <w:ind w:firstLine="646"/>
        <w:rPr>
          <w:rFonts w:hint="eastAsia" w:ascii="仿宋_GB2312" w:eastAsia="仿宋_GB2312"/>
          <w:color w:val="000000"/>
          <w:sz w:val="32"/>
          <w:szCs w:val="24"/>
        </w:rPr>
      </w:pPr>
      <w:r>
        <w:rPr>
          <w:rFonts w:hint="eastAsia" w:ascii="仿宋_GB2312" w:eastAsia="仿宋_GB2312"/>
          <w:color w:val="000000"/>
          <w:sz w:val="32"/>
          <w:szCs w:val="24"/>
        </w:rPr>
        <w:t>6.负责综合分析全面从严治党、党风廉政建设和反腐败工作情况，对纪检监察工作重要理论及实践问题进行调查研究。制定或者修改全市纪检监察法规制度，参与起草制定相关法规和规范性文件。</w:t>
      </w:r>
    </w:p>
    <w:p>
      <w:pPr>
        <w:spacing w:line="576" w:lineRule="exact"/>
        <w:ind w:firstLine="646"/>
        <w:rPr>
          <w:rFonts w:hint="eastAsia" w:ascii="仿宋_GB2312" w:eastAsia="仿宋_GB2312"/>
          <w:color w:val="000000"/>
          <w:sz w:val="32"/>
          <w:szCs w:val="24"/>
        </w:rPr>
      </w:pPr>
      <w:r>
        <w:rPr>
          <w:rFonts w:hint="eastAsia" w:ascii="仿宋_GB2312" w:eastAsia="仿宋_GB2312"/>
          <w:color w:val="000000"/>
          <w:sz w:val="32"/>
          <w:szCs w:val="24"/>
        </w:rPr>
        <w:t>7.在省纪委监委的领导下，加强对反腐败国际追逃追赃和防逃工作的组织协调，督促有关单位做好相关工作。</w:t>
      </w:r>
    </w:p>
    <w:p>
      <w:pPr>
        <w:spacing w:line="576" w:lineRule="exact"/>
        <w:ind w:firstLine="646"/>
        <w:rPr>
          <w:rFonts w:hint="eastAsia" w:ascii="仿宋_GB2312" w:eastAsia="仿宋_GB2312"/>
          <w:color w:val="000000"/>
          <w:sz w:val="32"/>
          <w:szCs w:val="24"/>
        </w:rPr>
      </w:pPr>
      <w:r>
        <w:rPr>
          <w:rFonts w:hint="eastAsia" w:ascii="仿宋_GB2312" w:eastAsia="仿宋_GB2312"/>
          <w:color w:val="000000"/>
          <w:sz w:val="32"/>
          <w:szCs w:val="24"/>
        </w:rPr>
        <w:t>8.根据干部管理权限，负责纪检监察系统领导班子建设、干部队伍建设和组织建设的综合规划、政策研究、制度建设和业务指导。会同有关方面做好市纪委监委派驻（出）机构、县（区）纪委监委机关、市管企业、市属学校和市属医院纪检监察机构领导班子建设有关工作。组织和指导全市纪检监察系统干部教育培训工作等。</w:t>
      </w:r>
    </w:p>
    <w:p>
      <w:pPr>
        <w:spacing w:line="576" w:lineRule="exact"/>
        <w:ind w:firstLine="646"/>
        <w:rPr>
          <w:rFonts w:hint="eastAsia" w:ascii="仿宋_GB2312" w:eastAsia="仿宋_GB2312"/>
          <w:color w:val="000000"/>
          <w:sz w:val="32"/>
          <w:szCs w:val="24"/>
        </w:rPr>
      </w:pPr>
      <w:r>
        <w:rPr>
          <w:rFonts w:hint="eastAsia" w:ascii="仿宋_GB2312" w:eastAsia="仿宋_GB2312"/>
          <w:color w:val="000000"/>
          <w:sz w:val="32"/>
          <w:szCs w:val="24"/>
        </w:rPr>
        <w:t>9.完成市委和省纪委监委交办的其他任务。</w:t>
      </w:r>
    </w:p>
    <w:p>
      <w:pPr>
        <w:keepNext/>
        <w:keepLines/>
        <w:numPr>
          <w:ilvl w:val="0"/>
          <w:numId w:val="0"/>
        </w:numPr>
        <w:spacing w:line="576" w:lineRule="exact"/>
        <w:ind w:firstLine="640" w:firstLineChars="200"/>
        <w:rPr>
          <w:rFonts w:hint="eastAsia" w:ascii="仿宋_GB2312" w:hAnsi="仿宋_GB2312" w:eastAsia="仿宋_GB2312"/>
          <w:color w:val="000000"/>
          <w:sz w:val="32"/>
          <w:szCs w:val="24"/>
          <w:lang w:val="zh-CN"/>
        </w:rPr>
      </w:pPr>
      <w:r>
        <w:rPr>
          <w:rFonts w:hint="eastAsia" w:ascii="仿宋_GB2312" w:hAnsi="仿宋_GB2312" w:eastAsia="仿宋_GB2312"/>
          <w:color w:val="000000"/>
          <w:sz w:val="32"/>
          <w:szCs w:val="24"/>
          <w:lang w:val="zh-CN"/>
        </w:rPr>
        <w:t>（三）人员概况</w:t>
      </w:r>
    </w:p>
    <w:p>
      <w:pPr>
        <w:spacing w:line="576" w:lineRule="exact"/>
        <w:ind w:firstLine="646"/>
        <w:rPr>
          <w:rFonts w:hint="eastAsia" w:ascii="仿宋_GB2312" w:eastAsia="仿宋_GB2312"/>
          <w:color w:val="000000"/>
          <w:sz w:val="32"/>
          <w:szCs w:val="24"/>
        </w:rPr>
      </w:pPr>
      <w:r>
        <w:rPr>
          <w:rFonts w:hint="eastAsia" w:ascii="仿宋_GB2312" w:eastAsia="仿宋_GB2312"/>
          <w:color w:val="000000"/>
          <w:sz w:val="32"/>
          <w:szCs w:val="24"/>
        </w:rPr>
        <w:t xml:space="preserve">截至2022年12月31日，市纪委监委机关（含市委巡察机构、派驻纪检监察组）共有编制人数208个，其中行政编制186个（机关63个，派驻纪检监察机构100个，巡察机构16个，工勤7个），事业编制22个，目前现有在职人员168人（机关工作人员56人，巡察机构16人，派驻纪检监察机构78人，工人1人，事业人员17人），离退休人员22人（离休1人，退休21人）。 </w:t>
      </w:r>
    </w:p>
    <w:p>
      <w:pPr>
        <w:keepNext/>
        <w:keepLines/>
        <w:spacing w:line="576" w:lineRule="exact"/>
        <w:ind w:firstLine="640"/>
        <w:rPr>
          <w:rFonts w:hint="default" w:ascii="黑体" w:hAnsi="黑体" w:eastAsia="黑体"/>
          <w:color w:val="000000"/>
          <w:sz w:val="32"/>
          <w:szCs w:val="24"/>
        </w:rPr>
      </w:pPr>
      <w:r>
        <w:rPr>
          <w:rFonts w:hint="eastAsia" w:ascii="仿宋_GB2312" w:hAnsi="仿宋" w:eastAsia="仿宋_GB2312"/>
          <w:sz w:val="32"/>
          <w:szCs w:val="24"/>
        </w:rPr>
        <w:t xml:space="preserve"> </w:t>
      </w:r>
      <w:r>
        <w:rPr>
          <w:rFonts w:hint="default" w:ascii="黑体" w:hAnsi="黑体" w:eastAsia="黑体"/>
          <w:color w:val="000000"/>
          <w:sz w:val="32"/>
          <w:szCs w:val="24"/>
        </w:rPr>
        <w:t>二、部门财政资金收支情况</w:t>
      </w:r>
    </w:p>
    <w:p>
      <w:pPr>
        <w:spacing w:line="576" w:lineRule="exact"/>
        <w:ind w:firstLine="646"/>
        <w:rPr>
          <w:rFonts w:hint="eastAsia" w:ascii="仿宋_GB2312" w:eastAsia="仿宋_GB2312"/>
          <w:color w:val="000000"/>
          <w:sz w:val="32"/>
          <w:szCs w:val="24"/>
          <w:lang w:val="zh-CN"/>
        </w:rPr>
      </w:pPr>
      <w:r>
        <w:rPr>
          <w:rFonts w:hint="eastAsia" w:ascii="仿宋_GB2312" w:eastAsia="仿宋_GB2312"/>
          <w:color w:val="000000"/>
          <w:sz w:val="32"/>
          <w:szCs w:val="24"/>
          <w:lang w:val="zh-CN"/>
        </w:rPr>
        <w:t>（一）部门财政资金收入情况</w:t>
      </w:r>
    </w:p>
    <w:p>
      <w:pPr>
        <w:spacing w:line="576" w:lineRule="exact"/>
        <w:ind w:firstLine="646"/>
        <w:rPr>
          <w:rFonts w:hint="eastAsia" w:ascii="仿宋_GB2312" w:eastAsia="仿宋_GB2312"/>
          <w:color w:val="000000"/>
          <w:sz w:val="32"/>
          <w:szCs w:val="24"/>
        </w:rPr>
      </w:pPr>
      <w:r>
        <w:rPr>
          <w:rFonts w:hint="eastAsia" w:ascii="仿宋_GB2312" w:eastAsia="仿宋_GB2312"/>
          <w:color w:val="000000"/>
          <w:sz w:val="32"/>
          <w:szCs w:val="24"/>
        </w:rPr>
        <w:t>2022年，市纪委监委机关财政资金收入6279.42万元。</w:t>
      </w:r>
    </w:p>
    <w:p>
      <w:pPr>
        <w:spacing w:line="576" w:lineRule="exact"/>
        <w:ind w:firstLine="640" w:firstLineChars="200"/>
        <w:rPr>
          <w:rFonts w:hint="eastAsia" w:ascii="仿宋_GB2312" w:eastAsia="仿宋_GB2312"/>
          <w:color w:val="000000"/>
          <w:sz w:val="32"/>
          <w:szCs w:val="24"/>
          <w:lang w:val="zh-CN"/>
        </w:rPr>
      </w:pPr>
      <w:r>
        <w:rPr>
          <w:rFonts w:hint="eastAsia" w:ascii="仿宋_GB2312" w:eastAsia="仿宋_GB2312"/>
          <w:color w:val="000000"/>
          <w:sz w:val="32"/>
          <w:szCs w:val="24"/>
        </w:rPr>
        <w:t>（二）</w:t>
      </w:r>
      <w:r>
        <w:rPr>
          <w:rFonts w:hint="eastAsia" w:ascii="仿宋_GB2312" w:eastAsia="仿宋_GB2312"/>
          <w:color w:val="000000"/>
          <w:sz w:val="32"/>
          <w:szCs w:val="24"/>
          <w:lang w:val="zh-CN"/>
        </w:rPr>
        <w:t>部门财政资金支出情况</w:t>
      </w:r>
    </w:p>
    <w:p>
      <w:pPr>
        <w:spacing w:line="576" w:lineRule="exact"/>
        <w:ind w:firstLine="646"/>
        <w:rPr>
          <w:rFonts w:hint="eastAsia" w:ascii="仿宋_GB2312" w:eastAsia="仿宋_GB2312"/>
          <w:color w:val="000000"/>
          <w:sz w:val="32"/>
          <w:szCs w:val="24"/>
        </w:rPr>
      </w:pPr>
      <w:r>
        <w:rPr>
          <w:rFonts w:hint="eastAsia" w:ascii="仿宋_GB2312" w:eastAsia="仿宋_GB2312"/>
          <w:color w:val="000000"/>
          <w:sz w:val="32"/>
          <w:szCs w:val="24"/>
        </w:rPr>
        <w:t xml:space="preserve"> 2022年，市纪委监委机关财政资金支出6279.42万元，其中，基本支出3737.15万元，项目支出2542.27万元。</w:t>
      </w:r>
    </w:p>
    <w:p>
      <w:pPr>
        <w:keepNext/>
        <w:keepLines/>
        <w:spacing w:line="576" w:lineRule="exact"/>
        <w:ind w:firstLine="640" w:firstLineChars="200"/>
        <w:rPr>
          <w:rFonts w:hint="default" w:ascii="黑体" w:hAnsi="黑体" w:eastAsia="黑体"/>
          <w:color w:val="000000"/>
          <w:sz w:val="32"/>
          <w:szCs w:val="24"/>
        </w:rPr>
      </w:pPr>
      <w:r>
        <w:rPr>
          <w:rFonts w:hint="default" w:ascii="黑体" w:hAnsi="黑体" w:eastAsia="黑体"/>
          <w:color w:val="000000"/>
          <w:sz w:val="32"/>
          <w:szCs w:val="24"/>
        </w:rPr>
        <w:t>三、部门整体预算绩效管理情况</w:t>
      </w:r>
      <w:r>
        <w:rPr>
          <w:rFonts w:hint="default" w:ascii="黑体" w:hAnsi="黑体" w:eastAsia="黑体"/>
          <w:i/>
          <w:color w:val="FF0000"/>
          <w:sz w:val="32"/>
          <w:szCs w:val="24"/>
        </w:rPr>
        <w:t xml:space="preserve"> </w:t>
      </w:r>
    </w:p>
    <w:p>
      <w:pPr>
        <w:keepNext/>
        <w:keepLines/>
        <w:spacing w:line="576" w:lineRule="exact"/>
        <w:ind w:firstLine="640"/>
        <w:rPr>
          <w:rFonts w:hint="eastAsia" w:ascii="仿宋_GB2312" w:hAnsi="仿宋_GB2312" w:eastAsia="仿宋_GB2312"/>
          <w:color w:val="000000"/>
          <w:sz w:val="32"/>
          <w:szCs w:val="24"/>
          <w:lang w:val="zh-CN"/>
        </w:rPr>
      </w:pPr>
      <w:r>
        <w:rPr>
          <w:rFonts w:hint="eastAsia" w:ascii="仿宋_GB2312" w:hAnsi="仿宋_GB2312" w:eastAsia="仿宋_GB2312"/>
          <w:color w:val="000000"/>
          <w:sz w:val="32"/>
          <w:szCs w:val="24"/>
          <w:lang w:val="zh-CN"/>
        </w:rPr>
        <w:t>（一）部门预算</w:t>
      </w:r>
      <w:r>
        <w:rPr>
          <w:rFonts w:hint="eastAsia" w:ascii="仿宋_GB2312" w:hAnsi="仿宋_GB2312" w:eastAsia="仿宋_GB2312"/>
          <w:sz w:val="32"/>
          <w:szCs w:val="24"/>
          <w:lang w:val="zh-CN"/>
        </w:rPr>
        <w:t>项目绩效管理</w:t>
      </w:r>
    </w:p>
    <w:p>
      <w:pPr>
        <w:widowControl/>
        <w:snapToGrid w:val="0"/>
        <w:spacing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1.人员类项目绩效分析</w:t>
      </w:r>
    </w:p>
    <w:p>
      <w:pPr>
        <w:widowControl/>
        <w:snapToGrid w:val="0"/>
        <w:spacing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市纪委监委人员类绩效目标为严格执行相关政策，保障工资及其他工资福利及时足额发放，预算执行率100%，提高资金使用效率。2022年委机关人员经费全年预算数3273.51万元，实际支出3273.51万元，资金结余率为0，无违规记录。</w:t>
      </w:r>
    </w:p>
    <w:p>
      <w:pPr>
        <w:widowControl/>
        <w:numPr>
          <w:ilvl w:val="0"/>
          <w:numId w:val="1"/>
        </w:numPr>
        <w:snapToGrid w:val="0"/>
        <w:spacing w:line="576" w:lineRule="exact"/>
        <w:rPr>
          <w:rFonts w:hint="eastAsia" w:ascii="仿宋_GB2312" w:hAnsi="仿宋_GB2312" w:eastAsia="仿宋_GB2312"/>
          <w:sz w:val="32"/>
          <w:szCs w:val="24"/>
        </w:rPr>
      </w:pPr>
      <w:r>
        <w:rPr>
          <w:rFonts w:hint="eastAsia" w:ascii="仿宋_GB2312" w:hAnsi="仿宋_GB2312" w:eastAsia="仿宋_GB2312"/>
          <w:sz w:val="32"/>
          <w:szCs w:val="24"/>
        </w:rPr>
        <w:t>运转类项目绩效分析</w:t>
      </w:r>
    </w:p>
    <w:p>
      <w:pPr>
        <w:widowControl/>
        <w:numPr>
          <w:ilvl w:val="0"/>
          <w:numId w:val="0"/>
        </w:numPr>
        <w:snapToGrid w:val="0"/>
        <w:spacing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市纪委监委运转类绩效目标为保障单位正常运转，提高预算编制质量，严格预算执行，提高资金使用效率。2022年委机关运转类项目全年预算数为463.64万元，实际支出463.64万元，资金结余率为0，无违规记录。</w:t>
      </w:r>
    </w:p>
    <w:p>
      <w:pPr>
        <w:widowControl/>
        <w:snapToGrid w:val="0"/>
        <w:spacing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3.特定目标类项目绩效分析</w:t>
      </w:r>
    </w:p>
    <w:p>
      <w:pPr>
        <w:widowControl/>
        <w:snapToGrid w:val="0"/>
        <w:spacing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市纪委监委特定目标类项目绩效目标为保障委机关监督执纪问责、审查调查、全覆盖巡察、信息化建设等工作需要，精准编制预算，提高预算执行率，为推进党风廉政建设和反腐败工作提供资金保障。2022年委机关特定目标类项目全年预算数为2544.68万元，实际支出2544.68万元，资金结余率为0，无违规记录。</w:t>
      </w:r>
    </w:p>
    <w:p>
      <w:pPr>
        <w:pStyle w:val="6"/>
        <w:rPr>
          <w:rFonts w:hint="eastAsia"/>
          <w:sz w:val="44"/>
          <w:szCs w:val="24"/>
          <w:lang w:val="zh-CN"/>
        </w:rPr>
      </w:pPr>
    </w:p>
    <w:p>
      <w:pPr>
        <w:keepNext/>
        <w:keepLines/>
        <w:spacing w:line="576" w:lineRule="exact"/>
        <w:ind w:firstLine="640"/>
        <w:rPr>
          <w:rFonts w:hint="eastAsia" w:ascii="仿宋_GB2312" w:hAnsi="仿宋_GB2312" w:eastAsia="仿宋_GB2312"/>
          <w:color w:val="000000"/>
          <w:sz w:val="32"/>
          <w:szCs w:val="24"/>
          <w:lang w:val="zh-CN"/>
        </w:rPr>
      </w:pPr>
      <w:r>
        <w:rPr>
          <w:rFonts w:hint="eastAsia" w:ascii="仿宋_GB2312" w:hAnsi="仿宋_GB2312" w:eastAsia="仿宋_GB2312"/>
          <w:color w:val="000000"/>
          <w:sz w:val="32"/>
          <w:szCs w:val="24"/>
          <w:lang w:val="zh-CN"/>
        </w:rPr>
        <w:t>（二）结果应用情况</w:t>
      </w:r>
    </w:p>
    <w:p>
      <w:pPr>
        <w:widowControl/>
        <w:snapToGrid w:val="0"/>
        <w:spacing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2022年8月28日，市纪委监委已按要求将2021年度部门整体支出自评报告同部门决算在市纪委网站上向社会进行了公开。2023年8月，将2022年度部门整体支出自评报告和部门决算向社会公开。</w:t>
      </w:r>
    </w:p>
    <w:p>
      <w:pPr>
        <w:spacing w:line="576" w:lineRule="exact"/>
        <w:ind w:firstLine="640" w:firstLineChars="20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（三）自评质量</w:t>
      </w:r>
    </w:p>
    <w:p>
      <w:pPr>
        <w:keepNext/>
        <w:keepLines/>
        <w:spacing w:line="576" w:lineRule="exact"/>
        <w:ind w:firstLine="640"/>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市纪委监委部门整体支出绩效分析包括人员类项目、运转类项目和特定目标类项目，绩效分析评价完整、全面、准确，自评质量较好。</w:t>
      </w:r>
    </w:p>
    <w:p>
      <w:pPr>
        <w:keepNext/>
        <w:keepLines/>
        <w:spacing w:line="576" w:lineRule="exact"/>
        <w:ind w:firstLine="640"/>
        <w:rPr>
          <w:rFonts w:hint="default" w:ascii="黑体" w:hAnsi="黑体" w:eastAsia="黑体"/>
          <w:color w:val="000000"/>
          <w:sz w:val="32"/>
          <w:szCs w:val="24"/>
        </w:rPr>
      </w:pPr>
      <w:r>
        <w:rPr>
          <w:rFonts w:hint="default" w:ascii="黑体" w:hAnsi="黑体" w:eastAsia="黑体"/>
          <w:color w:val="000000"/>
          <w:sz w:val="32"/>
          <w:szCs w:val="24"/>
        </w:rPr>
        <w:t>四、评价结论及建议</w:t>
      </w:r>
    </w:p>
    <w:p>
      <w:pPr>
        <w:keepNext/>
        <w:keepLines/>
        <w:spacing w:line="576" w:lineRule="exact"/>
        <w:ind w:firstLine="640"/>
        <w:rPr>
          <w:rFonts w:hint="eastAsia" w:ascii="仿宋_GB2312" w:hAnsi="仿宋_GB2312" w:eastAsia="仿宋_GB2312"/>
          <w:color w:val="000000"/>
          <w:sz w:val="32"/>
          <w:szCs w:val="24"/>
          <w:lang w:val="zh-CN"/>
        </w:rPr>
      </w:pPr>
      <w:r>
        <w:rPr>
          <w:rFonts w:hint="eastAsia" w:ascii="仿宋_GB2312" w:hAnsi="仿宋_GB2312" w:eastAsia="仿宋_GB2312"/>
          <w:color w:val="000000"/>
          <w:sz w:val="32"/>
          <w:szCs w:val="24"/>
          <w:lang w:val="zh-CN"/>
        </w:rPr>
        <w:t>（一）评价结论</w:t>
      </w:r>
    </w:p>
    <w:p>
      <w:pPr>
        <w:spacing w:line="576" w:lineRule="exact"/>
        <w:ind w:firstLine="640" w:firstLineChars="200"/>
        <w:rPr>
          <w:rFonts w:hint="eastAsia" w:ascii="仿宋_GB2312" w:hAnsi="仿宋_GB2312" w:eastAsia="仿宋_GB2312"/>
          <w:b/>
          <w:i/>
          <w:color w:val="FF0000"/>
          <w:kern w:val="2"/>
          <w:sz w:val="32"/>
          <w:szCs w:val="24"/>
          <w:lang w:val="zh-CN"/>
        </w:rPr>
      </w:pPr>
      <w:r>
        <w:rPr>
          <w:rFonts w:hint="eastAsia" w:ascii="仿宋_GB2312" w:hAnsi="仿宋_GB2312" w:eastAsia="仿宋_GB2312"/>
          <w:sz w:val="32"/>
          <w:szCs w:val="24"/>
        </w:rPr>
        <w:t>2022年度，市纪委监委加强部门支出控制和预算执行，圆满完成了部门整体绩效目标，部门整体支出绩效良好，自评得分95分。</w:t>
      </w:r>
    </w:p>
    <w:p>
      <w:pPr>
        <w:keepNext/>
        <w:keepLines/>
        <w:numPr>
          <w:ilvl w:val="0"/>
          <w:numId w:val="5"/>
        </w:numPr>
        <w:spacing w:line="576" w:lineRule="exact"/>
        <w:ind w:firstLine="640"/>
        <w:rPr>
          <w:rFonts w:hint="eastAsia" w:ascii="仿宋_GB2312" w:hAnsi="仿宋_GB2312" w:eastAsia="仿宋_GB2312"/>
          <w:color w:val="000000"/>
          <w:sz w:val="32"/>
          <w:szCs w:val="24"/>
          <w:lang w:val="zh-CN"/>
        </w:rPr>
      </w:pPr>
      <w:r>
        <w:rPr>
          <w:rFonts w:hint="eastAsia" w:ascii="仿宋_GB2312" w:hAnsi="仿宋_GB2312" w:eastAsia="仿宋_GB2312"/>
          <w:color w:val="000000"/>
          <w:sz w:val="32"/>
          <w:szCs w:val="24"/>
          <w:lang w:val="zh-CN"/>
        </w:rPr>
        <w:t>存在问题</w:t>
      </w:r>
    </w:p>
    <w:p>
      <w:pPr>
        <w:spacing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2022年，当年预算执行较好，能根据年初预算严格支出，但在绩效管理方面还存在目标设置质量不高的问题。</w:t>
      </w:r>
    </w:p>
    <w:p>
      <w:pPr>
        <w:keepNext/>
        <w:keepLines/>
        <w:spacing w:line="576" w:lineRule="exact"/>
        <w:ind w:firstLine="640" w:firstLineChars="200"/>
        <w:rPr>
          <w:rFonts w:hint="eastAsia" w:ascii="仿宋_GB2312" w:hAnsi="仿宋_GB2312" w:eastAsia="仿宋_GB2312"/>
          <w:color w:val="000000"/>
          <w:sz w:val="32"/>
          <w:szCs w:val="24"/>
          <w:lang w:val="zh-CN"/>
        </w:rPr>
      </w:pPr>
      <w:r>
        <w:rPr>
          <w:rFonts w:hint="eastAsia" w:ascii="仿宋_GB2312" w:hAnsi="仿宋_GB2312" w:eastAsia="仿宋_GB2312"/>
          <w:color w:val="000000"/>
          <w:sz w:val="32"/>
          <w:szCs w:val="24"/>
          <w:lang w:val="zh-CN"/>
        </w:rPr>
        <w:t>（三）改进建议</w:t>
      </w:r>
    </w:p>
    <w:p>
      <w:pPr>
        <w:spacing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市纪委监委将按要求落实单位预算绩效管理主体责任，进一步完善预算绩效管理制度，规范预算绩效管理过程控制，强化绩效结果应用。2023年，充分征求各资金使用单位意见，精准测算，留有余地，编制好年初预算，高质量设置绩效目标。</w:t>
      </w:r>
    </w:p>
    <w:p>
      <w:pPr>
        <w:widowControl/>
        <w:snapToGrid w:val="0"/>
        <w:spacing w:line="580" w:lineRule="exact"/>
        <w:ind w:firstLine="643" w:firstLineChars="200"/>
        <w:jc w:val="center"/>
        <w:rPr>
          <w:rFonts w:hint="default" w:ascii="仿宋" w:hAnsi="仿宋" w:eastAsia="仿宋"/>
          <w:b/>
          <w:sz w:val="36"/>
          <w:szCs w:val="24"/>
        </w:rPr>
      </w:pPr>
      <w:r>
        <w:rPr>
          <w:rFonts w:hint="eastAsia" w:ascii="仿宋_GB2312" w:hAnsi="仿宋_GB2312" w:eastAsia="仿宋_GB2312"/>
          <w:b/>
          <w:i/>
          <w:color w:val="FF0000"/>
          <w:kern w:val="2"/>
          <w:sz w:val="32"/>
          <w:szCs w:val="24"/>
        </w:rPr>
        <w:t xml:space="preserve"> </w:t>
      </w:r>
    </w:p>
    <w:p>
      <w:pPr>
        <w:widowControl/>
        <w:snapToGrid w:val="0"/>
        <w:spacing w:line="580" w:lineRule="exact"/>
        <w:jc w:val="center"/>
        <w:rPr>
          <w:rFonts w:hint="eastAsia" w:ascii="方正小标宋_GBK" w:hAnsi="方正小标宋_GBK" w:eastAsia="方正小标宋_GBK"/>
          <w:sz w:val="36"/>
          <w:szCs w:val="24"/>
        </w:rPr>
      </w:pPr>
      <w:r>
        <w:rPr>
          <w:rFonts w:hint="eastAsia" w:ascii="方正小标宋_GBK" w:hAnsi="方正小标宋_GBK" w:eastAsia="方正小标宋_GBK"/>
          <w:sz w:val="36"/>
          <w:szCs w:val="24"/>
        </w:rPr>
        <w:t>2022年度中共雅安市纪律检查委员会部门</w:t>
      </w:r>
    </w:p>
    <w:p>
      <w:pPr>
        <w:widowControl/>
        <w:snapToGrid w:val="0"/>
        <w:spacing w:line="580" w:lineRule="exact"/>
        <w:jc w:val="center"/>
        <w:rPr>
          <w:rFonts w:hint="eastAsia" w:ascii="方正小标宋_GBK" w:hAnsi="方正小标宋_GBK" w:eastAsia="方正小标宋_GBK"/>
          <w:color w:val="FF0000"/>
          <w:sz w:val="36"/>
          <w:szCs w:val="24"/>
          <w:shd w:val="clear" w:color="auto" w:fill="FFFFFF"/>
          <w:lang w:val="zh-CN"/>
        </w:rPr>
      </w:pPr>
      <w:r>
        <w:rPr>
          <w:rFonts w:hint="eastAsia" w:ascii="方正小标宋_GBK" w:hAnsi="方正小标宋_GBK" w:eastAsia="方正小标宋_GBK"/>
          <w:sz w:val="36"/>
          <w:szCs w:val="24"/>
        </w:rPr>
        <w:t>整体支出绩效评价自评表</w:t>
      </w:r>
    </w:p>
    <w:tbl>
      <w:tblPr>
        <w:tblStyle w:val="11"/>
        <w:tblW w:w="9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40"/>
        <w:gridCol w:w="1847"/>
        <w:gridCol w:w="1913"/>
        <w:gridCol w:w="1420"/>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610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绩效指标</w:t>
            </w:r>
          </w:p>
        </w:tc>
        <w:tc>
          <w:tcPr>
            <w:tcW w:w="1420"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指标分值</w:t>
            </w:r>
          </w:p>
        </w:tc>
        <w:tc>
          <w:tcPr>
            <w:tcW w:w="1560"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340"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一级指标</w:t>
            </w:r>
          </w:p>
        </w:tc>
        <w:tc>
          <w:tcPr>
            <w:tcW w:w="1847"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二级指标</w:t>
            </w:r>
          </w:p>
        </w:tc>
        <w:tc>
          <w:tcPr>
            <w:tcW w:w="1913"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三级指标</w:t>
            </w:r>
          </w:p>
        </w:tc>
        <w:tc>
          <w:tcPr>
            <w:tcW w:w="142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rPr>
                <w:rFonts w:hint="default" w:ascii="等线" w:hAnsi="等线" w:eastAsia="等线"/>
                <w:color w:val="000000"/>
                <w:sz w:val="22"/>
                <w:szCs w:val="24"/>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default" w:ascii="等线" w:hAnsi="等线" w:eastAsia="等线"/>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340" w:type="dxa"/>
            <w:vMerge w:val="restart"/>
            <w:tcBorders>
              <w:top w:val="nil"/>
              <w:left w:val="single" w:color="auto" w:sz="4" w:space="0"/>
              <w:bottom w:val="single" w:color="auto" w:sz="4" w:space="0"/>
              <w:right w:val="single" w:color="auto" w:sz="4" w:space="0"/>
              <w:tl2br w:val="nil"/>
              <w:tr2bl w:val="nil"/>
            </w:tcBorders>
            <w:noWrap w:val="0"/>
            <w:vAlign w:val="center"/>
          </w:tcPr>
          <w:p>
            <w:pPr>
              <w:widowControl/>
              <w:rPr>
                <w:rFonts w:hint="default" w:ascii="等线" w:hAnsi="等线" w:eastAsia="等线"/>
                <w:color w:val="000000"/>
                <w:sz w:val="22"/>
                <w:szCs w:val="24"/>
              </w:rPr>
            </w:pPr>
            <w:r>
              <w:rPr>
                <w:rFonts w:hint="default" w:ascii="等线" w:hAnsi="等线" w:eastAsia="等线"/>
                <w:color w:val="000000"/>
                <w:sz w:val="22"/>
                <w:szCs w:val="24"/>
              </w:rPr>
              <w:t>部门预算管理（80分）</w:t>
            </w:r>
          </w:p>
        </w:tc>
        <w:tc>
          <w:tcPr>
            <w:tcW w:w="1847" w:type="dxa"/>
            <w:vMerge w:val="restart"/>
            <w:tcBorders>
              <w:top w:val="nil"/>
              <w:left w:val="single" w:color="auto" w:sz="4" w:space="0"/>
              <w:bottom w:val="single" w:color="auto" w:sz="4" w:space="0"/>
              <w:right w:val="single" w:color="auto" w:sz="4" w:space="0"/>
              <w:tl2br w:val="nil"/>
              <w:tr2bl w:val="nil"/>
            </w:tcBorders>
            <w:noWrap w:val="0"/>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预算编制（30分）</w:t>
            </w:r>
          </w:p>
        </w:tc>
        <w:tc>
          <w:tcPr>
            <w:tcW w:w="1913"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目标制定</w:t>
            </w:r>
          </w:p>
        </w:tc>
        <w:tc>
          <w:tcPr>
            <w:tcW w:w="1420"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10</w:t>
            </w:r>
          </w:p>
        </w:tc>
        <w:tc>
          <w:tcPr>
            <w:tcW w:w="1560"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340" w:type="dxa"/>
            <w:vMerge w:val="continue"/>
            <w:tcBorders>
              <w:top w:val="nil"/>
              <w:left w:val="single" w:color="auto" w:sz="4" w:space="0"/>
              <w:bottom w:val="single" w:color="auto" w:sz="4" w:space="0"/>
              <w:right w:val="single" w:color="auto" w:sz="4" w:space="0"/>
              <w:tl2br w:val="nil"/>
              <w:tr2bl w:val="nil"/>
            </w:tcBorders>
            <w:noWrap w:val="0"/>
            <w:vAlign w:val="center"/>
          </w:tcPr>
          <w:p>
            <w:pPr>
              <w:widowControl/>
              <w:rPr>
                <w:rFonts w:hint="default" w:ascii="等线" w:hAnsi="等线" w:eastAsia="等线"/>
                <w:color w:val="000000"/>
                <w:sz w:val="22"/>
                <w:szCs w:val="24"/>
              </w:rPr>
            </w:pPr>
          </w:p>
        </w:tc>
        <w:tc>
          <w:tcPr>
            <w:tcW w:w="1847" w:type="dxa"/>
            <w:vMerge w:val="continue"/>
            <w:tcBorders>
              <w:top w:val="nil"/>
              <w:left w:val="single" w:color="auto" w:sz="4" w:space="0"/>
              <w:bottom w:val="single" w:color="auto" w:sz="4" w:space="0"/>
              <w:right w:val="single" w:color="auto" w:sz="4" w:space="0"/>
              <w:tl2br w:val="nil"/>
              <w:tr2bl w:val="nil"/>
            </w:tcBorders>
            <w:noWrap w:val="0"/>
            <w:vAlign w:val="center"/>
          </w:tcPr>
          <w:p>
            <w:pPr>
              <w:widowControl/>
              <w:rPr>
                <w:rFonts w:hint="default" w:ascii="等线" w:hAnsi="等线" w:eastAsia="等线"/>
                <w:color w:val="000000"/>
                <w:sz w:val="22"/>
                <w:szCs w:val="24"/>
              </w:rPr>
            </w:pPr>
          </w:p>
        </w:tc>
        <w:tc>
          <w:tcPr>
            <w:tcW w:w="1913"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目标完成</w:t>
            </w:r>
          </w:p>
        </w:tc>
        <w:tc>
          <w:tcPr>
            <w:tcW w:w="1420"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10</w:t>
            </w:r>
          </w:p>
        </w:tc>
        <w:tc>
          <w:tcPr>
            <w:tcW w:w="1560"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340" w:type="dxa"/>
            <w:vMerge w:val="continue"/>
            <w:tcBorders>
              <w:top w:val="nil"/>
              <w:left w:val="single" w:color="auto" w:sz="4" w:space="0"/>
              <w:bottom w:val="single" w:color="auto" w:sz="4" w:space="0"/>
              <w:right w:val="single" w:color="auto" w:sz="4" w:space="0"/>
              <w:tl2br w:val="nil"/>
              <w:tr2bl w:val="nil"/>
            </w:tcBorders>
            <w:noWrap w:val="0"/>
            <w:vAlign w:val="center"/>
          </w:tcPr>
          <w:p>
            <w:pPr>
              <w:widowControl/>
              <w:rPr>
                <w:rFonts w:hint="default" w:ascii="等线" w:hAnsi="等线" w:eastAsia="等线"/>
                <w:color w:val="000000"/>
                <w:sz w:val="22"/>
                <w:szCs w:val="24"/>
              </w:rPr>
            </w:pPr>
          </w:p>
        </w:tc>
        <w:tc>
          <w:tcPr>
            <w:tcW w:w="1847" w:type="dxa"/>
            <w:vMerge w:val="continue"/>
            <w:tcBorders>
              <w:top w:val="nil"/>
              <w:left w:val="single" w:color="auto" w:sz="4" w:space="0"/>
              <w:bottom w:val="single" w:color="auto" w:sz="4" w:space="0"/>
              <w:right w:val="single" w:color="auto" w:sz="4" w:space="0"/>
              <w:tl2br w:val="nil"/>
              <w:tr2bl w:val="nil"/>
            </w:tcBorders>
            <w:noWrap w:val="0"/>
            <w:vAlign w:val="center"/>
          </w:tcPr>
          <w:p>
            <w:pPr>
              <w:widowControl/>
              <w:rPr>
                <w:rFonts w:hint="default" w:ascii="等线" w:hAnsi="等线" w:eastAsia="等线"/>
                <w:color w:val="000000"/>
                <w:sz w:val="22"/>
                <w:szCs w:val="24"/>
              </w:rPr>
            </w:pPr>
          </w:p>
        </w:tc>
        <w:tc>
          <w:tcPr>
            <w:tcW w:w="1913"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编制标准</w:t>
            </w:r>
          </w:p>
        </w:tc>
        <w:tc>
          <w:tcPr>
            <w:tcW w:w="1420"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10</w:t>
            </w:r>
          </w:p>
        </w:tc>
        <w:tc>
          <w:tcPr>
            <w:tcW w:w="1560"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340" w:type="dxa"/>
            <w:vMerge w:val="continue"/>
            <w:tcBorders>
              <w:top w:val="nil"/>
              <w:left w:val="single" w:color="auto" w:sz="4" w:space="0"/>
              <w:bottom w:val="single" w:color="auto" w:sz="4" w:space="0"/>
              <w:right w:val="single" w:color="auto" w:sz="4" w:space="0"/>
              <w:tl2br w:val="nil"/>
              <w:tr2bl w:val="nil"/>
            </w:tcBorders>
            <w:noWrap w:val="0"/>
            <w:vAlign w:val="center"/>
          </w:tcPr>
          <w:p>
            <w:pPr>
              <w:widowControl/>
              <w:rPr>
                <w:rFonts w:hint="default" w:ascii="等线" w:hAnsi="等线" w:eastAsia="等线"/>
                <w:color w:val="000000"/>
                <w:sz w:val="22"/>
                <w:szCs w:val="24"/>
              </w:rPr>
            </w:pPr>
          </w:p>
        </w:tc>
        <w:tc>
          <w:tcPr>
            <w:tcW w:w="1847" w:type="dxa"/>
            <w:vMerge w:val="restart"/>
            <w:tcBorders>
              <w:top w:val="nil"/>
              <w:left w:val="single" w:color="auto" w:sz="4" w:space="0"/>
              <w:bottom w:val="single" w:color="auto" w:sz="4" w:space="0"/>
              <w:right w:val="single" w:color="auto" w:sz="4" w:space="0"/>
              <w:tl2br w:val="nil"/>
              <w:tr2bl w:val="nil"/>
            </w:tcBorders>
            <w:noWrap w:val="0"/>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预算执行（30分）</w:t>
            </w:r>
          </w:p>
        </w:tc>
        <w:tc>
          <w:tcPr>
            <w:tcW w:w="1913"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支出控制</w:t>
            </w:r>
          </w:p>
        </w:tc>
        <w:tc>
          <w:tcPr>
            <w:tcW w:w="1420"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10</w:t>
            </w:r>
          </w:p>
        </w:tc>
        <w:tc>
          <w:tcPr>
            <w:tcW w:w="1560"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340" w:type="dxa"/>
            <w:vMerge w:val="continue"/>
            <w:tcBorders>
              <w:top w:val="nil"/>
              <w:left w:val="single" w:color="auto" w:sz="4" w:space="0"/>
              <w:bottom w:val="single" w:color="auto" w:sz="4" w:space="0"/>
              <w:right w:val="single" w:color="auto" w:sz="4" w:space="0"/>
              <w:tl2br w:val="nil"/>
              <w:tr2bl w:val="nil"/>
            </w:tcBorders>
            <w:noWrap w:val="0"/>
            <w:vAlign w:val="center"/>
          </w:tcPr>
          <w:p>
            <w:pPr>
              <w:widowControl/>
              <w:rPr>
                <w:rFonts w:hint="default" w:ascii="等线" w:hAnsi="等线" w:eastAsia="等线"/>
                <w:color w:val="000000"/>
                <w:sz w:val="22"/>
                <w:szCs w:val="24"/>
              </w:rPr>
            </w:pPr>
          </w:p>
        </w:tc>
        <w:tc>
          <w:tcPr>
            <w:tcW w:w="1847" w:type="dxa"/>
            <w:vMerge w:val="continue"/>
            <w:tcBorders>
              <w:top w:val="nil"/>
              <w:left w:val="single" w:color="auto" w:sz="4" w:space="0"/>
              <w:bottom w:val="single" w:color="auto" w:sz="4" w:space="0"/>
              <w:right w:val="single" w:color="auto" w:sz="4" w:space="0"/>
              <w:tl2br w:val="nil"/>
              <w:tr2bl w:val="nil"/>
            </w:tcBorders>
            <w:noWrap w:val="0"/>
            <w:vAlign w:val="center"/>
          </w:tcPr>
          <w:p>
            <w:pPr>
              <w:widowControl/>
              <w:rPr>
                <w:rFonts w:hint="default" w:ascii="等线" w:hAnsi="等线" w:eastAsia="等线"/>
                <w:color w:val="000000"/>
                <w:sz w:val="22"/>
                <w:szCs w:val="24"/>
              </w:rPr>
            </w:pPr>
          </w:p>
        </w:tc>
        <w:tc>
          <w:tcPr>
            <w:tcW w:w="1913"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动态调整</w:t>
            </w:r>
          </w:p>
        </w:tc>
        <w:tc>
          <w:tcPr>
            <w:tcW w:w="1420"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10</w:t>
            </w:r>
          </w:p>
        </w:tc>
        <w:tc>
          <w:tcPr>
            <w:tcW w:w="1560"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340" w:type="dxa"/>
            <w:vMerge w:val="continue"/>
            <w:tcBorders>
              <w:top w:val="nil"/>
              <w:left w:val="single" w:color="auto" w:sz="4" w:space="0"/>
              <w:bottom w:val="single" w:color="auto" w:sz="4" w:space="0"/>
              <w:right w:val="single" w:color="auto" w:sz="4" w:space="0"/>
              <w:tl2br w:val="nil"/>
              <w:tr2bl w:val="nil"/>
            </w:tcBorders>
            <w:noWrap w:val="0"/>
            <w:vAlign w:val="center"/>
          </w:tcPr>
          <w:p>
            <w:pPr>
              <w:widowControl/>
              <w:rPr>
                <w:rFonts w:hint="default" w:ascii="等线" w:hAnsi="等线" w:eastAsia="等线"/>
                <w:color w:val="000000"/>
                <w:sz w:val="22"/>
                <w:szCs w:val="24"/>
              </w:rPr>
            </w:pPr>
          </w:p>
        </w:tc>
        <w:tc>
          <w:tcPr>
            <w:tcW w:w="1847" w:type="dxa"/>
            <w:vMerge w:val="continue"/>
            <w:tcBorders>
              <w:top w:val="nil"/>
              <w:left w:val="single" w:color="auto" w:sz="4" w:space="0"/>
              <w:bottom w:val="single" w:color="auto" w:sz="4" w:space="0"/>
              <w:right w:val="single" w:color="auto" w:sz="4" w:space="0"/>
              <w:tl2br w:val="nil"/>
              <w:tr2bl w:val="nil"/>
            </w:tcBorders>
            <w:noWrap w:val="0"/>
            <w:vAlign w:val="center"/>
          </w:tcPr>
          <w:p>
            <w:pPr>
              <w:widowControl/>
              <w:rPr>
                <w:rFonts w:hint="default" w:ascii="等线" w:hAnsi="等线" w:eastAsia="等线"/>
                <w:color w:val="000000"/>
                <w:sz w:val="22"/>
                <w:szCs w:val="24"/>
              </w:rPr>
            </w:pPr>
          </w:p>
        </w:tc>
        <w:tc>
          <w:tcPr>
            <w:tcW w:w="1913"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执行进度</w:t>
            </w:r>
          </w:p>
        </w:tc>
        <w:tc>
          <w:tcPr>
            <w:tcW w:w="1420"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10</w:t>
            </w:r>
          </w:p>
        </w:tc>
        <w:tc>
          <w:tcPr>
            <w:tcW w:w="1560"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340" w:type="dxa"/>
            <w:vMerge w:val="continue"/>
            <w:tcBorders>
              <w:top w:val="nil"/>
              <w:left w:val="single" w:color="auto" w:sz="4" w:space="0"/>
              <w:bottom w:val="single" w:color="auto" w:sz="4" w:space="0"/>
              <w:right w:val="single" w:color="auto" w:sz="4" w:space="0"/>
              <w:tl2br w:val="nil"/>
              <w:tr2bl w:val="nil"/>
            </w:tcBorders>
            <w:noWrap w:val="0"/>
            <w:vAlign w:val="center"/>
          </w:tcPr>
          <w:p>
            <w:pPr>
              <w:widowControl/>
              <w:rPr>
                <w:rFonts w:hint="default" w:ascii="等线" w:hAnsi="等线" w:eastAsia="等线"/>
                <w:color w:val="000000"/>
                <w:sz w:val="22"/>
                <w:szCs w:val="24"/>
              </w:rPr>
            </w:pPr>
          </w:p>
        </w:tc>
        <w:tc>
          <w:tcPr>
            <w:tcW w:w="1847" w:type="dxa"/>
            <w:vMerge w:val="restart"/>
            <w:tcBorders>
              <w:top w:val="nil"/>
              <w:left w:val="single" w:color="auto" w:sz="4" w:space="0"/>
              <w:bottom w:val="single" w:color="auto" w:sz="4" w:space="0"/>
              <w:right w:val="single" w:color="auto" w:sz="4" w:space="0"/>
              <w:tl2br w:val="nil"/>
              <w:tr2bl w:val="nil"/>
            </w:tcBorders>
            <w:noWrap w:val="0"/>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完成结果（20分）</w:t>
            </w:r>
          </w:p>
        </w:tc>
        <w:tc>
          <w:tcPr>
            <w:tcW w:w="1913"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预算完成</w:t>
            </w:r>
          </w:p>
        </w:tc>
        <w:tc>
          <w:tcPr>
            <w:tcW w:w="1420"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10</w:t>
            </w:r>
          </w:p>
        </w:tc>
        <w:tc>
          <w:tcPr>
            <w:tcW w:w="1560"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340" w:type="dxa"/>
            <w:vMerge w:val="continue"/>
            <w:tcBorders>
              <w:top w:val="nil"/>
              <w:left w:val="single" w:color="auto" w:sz="4" w:space="0"/>
              <w:bottom w:val="single" w:color="auto" w:sz="4" w:space="0"/>
              <w:right w:val="single" w:color="auto" w:sz="4" w:space="0"/>
              <w:tl2br w:val="nil"/>
              <w:tr2bl w:val="nil"/>
            </w:tcBorders>
            <w:noWrap w:val="0"/>
            <w:vAlign w:val="center"/>
          </w:tcPr>
          <w:p>
            <w:pPr>
              <w:widowControl/>
              <w:rPr>
                <w:rFonts w:hint="default" w:ascii="等线" w:hAnsi="等线" w:eastAsia="等线"/>
                <w:color w:val="000000"/>
                <w:sz w:val="22"/>
                <w:szCs w:val="24"/>
              </w:rPr>
            </w:pPr>
          </w:p>
        </w:tc>
        <w:tc>
          <w:tcPr>
            <w:tcW w:w="1847" w:type="dxa"/>
            <w:vMerge w:val="continue"/>
            <w:tcBorders>
              <w:top w:val="nil"/>
              <w:left w:val="single" w:color="auto" w:sz="4" w:space="0"/>
              <w:bottom w:val="single" w:color="auto" w:sz="4" w:space="0"/>
              <w:right w:val="single" w:color="auto" w:sz="4" w:space="0"/>
              <w:tl2br w:val="nil"/>
              <w:tr2bl w:val="nil"/>
            </w:tcBorders>
            <w:noWrap w:val="0"/>
            <w:vAlign w:val="center"/>
          </w:tcPr>
          <w:p>
            <w:pPr>
              <w:widowControl/>
              <w:rPr>
                <w:rFonts w:hint="default" w:ascii="等线" w:hAnsi="等线" w:eastAsia="等线"/>
                <w:color w:val="000000"/>
                <w:sz w:val="22"/>
                <w:szCs w:val="24"/>
              </w:rPr>
            </w:pPr>
          </w:p>
        </w:tc>
        <w:tc>
          <w:tcPr>
            <w:tcW w:w="1913"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违规记录</w:t>
            </w:r>
          </w:p>
        </w:tc>
        <w:tc>
          <w:tcPr>
            <w:tcW w:w="1420"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10</w:t>
            </w:r>
          </w:p>
        </w:tc>
        <w:tc>
          <w:tcPr>
            <w:tcW w:w="1560"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340" w:type="dxa"/>
            <w:vMerge w:val="restart"/>
            <w:tcBorders>
              <w:top w:val="nil"/>
              <w:left w:val="single" w:color="auto" w:sz="4" w:space="0"/>
              <w:bottom w:val="single" w:color="auto" w:sz="4" w:space="0"/>
              <w:right w:val="single" w:color="auto" w:sz="4" w:space="0"/>
              <w:tl2br w:val="nil"/>
              <w:tr2bl w:val="nil"/>
            </w:tcBorders>
            <w:noWrap w:val="0"/>
            <w:vAlign w:val="center"/>
          </w:tcPr>
          <w:p>
            <w:pPr>
              <w:widowControl/>
              <w:rPr>
                <w:rFonts w:hint="default" w:ascii="等线" w:hAnsi="等线" w:eastAsia="等线"/>
                <w:color w:val="000000"/>
                <w:sz w:val="22"/>
                <w:szCs w:val="24"/>
              </w:rPr>
            </w:pPr>
            <w:r>
              <w:rPr>
                <w:rFonts w:hint="default" w:ascii="等线" w:hAnsi="等线" w:eastAsia="等线"/>
                <w:color w:val="000000"/>
                <w:sz w:val="22"/>
                <w:szCs w:val="24"/>
              </w:rPr>
              <w:t>绩效结果应用（20分）</w:t>
            </w:r>
          </w:p>
        </w:tc>
        <w:tc>
          <w:tcPr>
            <w:tcW w:w="1847" w:type="dxa"/>
            <w:tcBorders>
              <w:top w:val="nil"/>
              <w:left w:val="nil"/>
              <w:bottom w:val="single" w:color="auto" w:sz="4" w:space="0"/>
              <w:right w:val="single" w:color="auto" w:sz="4" w:space="0"/>
              <w:tl2br w:val="nil"/>
              <w:tr2bl w:val="nil"/>
            </w:tcBorders>
            <w:noWrap w:val="0"/>
            <w:vAlign w:val="center"/>
          </w:tcPr>
          <w:p>
            <w:pPr>
              <w:widowControl/>
              <w:rPr>
                <w:rFonts w:hint="default" w:ascii="等线" w:hAnsi="等线" w:eastAsia="等线"/>
                <w:color w:val="000000"/>
                <w:sz w:val="22"/>
                <w:szCs w:val="24"/>
              </w:rPr>
            </w:pPr>
            <w:r>
              <w:rPr>
                <w:rFonts w:hint="default" w:ascii="等线" w:hAnsi="等线" w:eastAsia="等线"/>
                <w:color w:val="000000"/>
                <w:sz w:val="22"/>
                <w:szCs w:val="24"/>
              </w:rPr>
              <w:t>自评质量（4分）</w:t>
            </w:r>
          </w:p>
        </w:tc>
        <w:tc>
          <w:tcPr>
            <w:tcW w:w="1913"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自评准确</w:t>
            </w:r>
          </w:p>
        </w:tc>
        <w:tc>
          <w:tcPr>
            <w:tcW w:w="1420"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4</w:t>
            </w:r>
          </w:p>
        </w:tc>
        <w:tc>
          <w:tcPr>
            <w:tcW w:w="1560"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340" w:type="dxa"/>
            <w:vMerge w:val="continue"/>
            <w:tcBorders>
              <w:top w:val="nil"/>
              <w:left w:val="single" w:color="auto" w:sz="4" w:space="0"/>
              <w:bottom w:val="single" w:color="auto" w:sz="4" w:space="0"/>
              <w:right w:val="single" w:color="auto" w:sz="4" w:space="0"/>
              <w:tl2br w:val="nil"/>
              <w:tr2bl w:val="nil"/>
            </w:tcBorders>
            <w:noWrap w:val="0"/>
            <w:vAlign w:val="center"/>
          </w:tcPr>
          <w:p>
            <w:pPr>
              <w:widowControl/>
              <w:rPr>
                <w:rFonts w:hint="default" w:ascii="等线" w:hAnsi="等线" w:eastAsia="等线"/>
                <w:color w:val="000000"/>
                <w:sz w:val="22"/>
                <w:szCs w:val="24"/>
              </w:rPr>
            </w:pPr>
          </w:p>
        </w:tc>
        <w:tc>
          <w:tcPr>
            <w:tcW w:w="1847" w:type="dxa"/>
            <w:vMerge w:val="restart"/>
            <w:tcBorders>
              <w:top w:val="nil"/>
              <w:left w:val="single" w:color="auto" w:sz="4" w:space="0"/>
              <w:bottom w:val="single" w:color="auto" w:sz="4" w:space="0"/>
              <w:right w:val="single" w:color="auto" w:sz="4" w:space="0"/>
              <w:tl2br w:val="nil"/>
              <w:tr2bl w:val="nil"/>
            </w:tcBorders>
            <w:noWrap w:val="0"/>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信息公开（8分）</w:t>
            </w:r>
          </w:p>
        </w:tc>
        <w:tc>
          <w:tcPr>
            <w:tcW w:w="1913"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目标公开</w:t>
            </w:r>
          </w:p>
        </w:tc>
        <w:tc>
          <w:tcPr>
            <w:tcW w:w="1420"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4</w:t>
            </w:r>
          </w:p>
        </w:tc>
        <w:tc>
          <w:tcPr>
            <w:tcW w:w="1560"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340" w:type="dxa"/>
            <w:vMerge w:val="continue"/>
            <w:tcBorders>
              <w:top w:val="nil"/>
              <w:left w:val="single" w:color="auto" w:sz="4" w:space="0"/>
              <w:bottom w:val="single" w:color="auto" w:sz="4" w:space="0"/>
              <w:right w:val="single" w:color="auto" w:sz="4" w:space="0"/>
              <w:tl2br w:val="nil"/>
              <w:tr2bl w:val="nil"/>
            </w:tcBorders>
            <w:noWrap w:val="0"/>
            <w:vAlign w:val="center"/>
          </w:tcPr>
          <w:p>
            <w:pPr>
              <w:widowControl/>
              <w:rPr>
                <w:rFonts w:hint="default" w:ascii="等线" w:hAnsi="等线" w:eastAsia="等线"/>
                <w:color w:val="000000"/>
                <w:sz w:val="22"/>
                <w:szCs w:val="24"/>
              </w:rPr>
            </w:pPr>
          </w:p>
        </w:tc>
        <w:tc>
          <w:tcPr>
            <w:tcW w:w="1847" w:type="dxa"/>
            <w:vMerge w:val="continue"/>
            <w:tcBorders>
              <w:top w:val="nil"/>
              <w:left w:val="single" w:color="auto" w:sz="4" w:space="0"/>
              <w:bottom w:val="single" w:color="auto" w:sz="4" w:space="0"/>
              <w:right w:val="single" w:color="auto" w:sz="4" w:space="0"/>
              <w:tl2br w:val="nil"/>
              <w:tr2bl w:val="nil"/>
            </w:tcBorders>
            <w:noWrap w:val="0"/>
            <w:vAlign w:val="center"/>
          </w:tcPr>
          <w:p>
            <w:pPr>
              <w:widowControl/>
              <w:rPr>
                <w:rFonts w:hint="default" w:ascii="等线" w:hAnsi="等线" w:eastAsia="等线"/>
                <w:color w:val="000000"/>
                <w:sz w:val="22"/>
                <w:szCs w:val="24"/>
              </w:rPr>
            </w:pPr>
          </w:p>
        </w:tc>
        <w:tc>
          <w:tcPr>
            <w:tcW w:w="1913"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自评公开</w:t>
            </w:r>
          </w:p>
        </w:tc>
        <w:tc>
          <w:tcPr>
            <w:tcW w:w="1420"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4</w:t>
            </w:r>
          </w:p>
        </w:tc>
        <w:tc>
          <w:tcPr>
            <w:tcW w:w="1560"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340" w:type="dxa"/>
            <w:vMerge w:val="continue"/>
            <w:tcBorders>
              <w:top w:val="nil"/>
              <w:left w:val="single" w:color="auto" w:sz="4" w:space="0"/>
              <w:bottom w:val="single" w:color="auto" w:sz="4" w:space="0"/>
              <w:right w:val="single" w:color="auto" w:sz="4" w:space="0"/>
              <w:tl2br w:val="nil"/>
              <w:tr2bl w:val="nil"/>
            </w:tcBorders>
            <w:noWrap w:val="0"/>
            <w:vAlign w:val="center"/>
          </w:tcPr>
          <w:p>
            <w:pPr>
              <w:widowControl/>
              <w:rPr>
                <w:rFonts w:hint="default" w:ascii="等线" w:hAnsi="等线" w:eastAsia="等线"/>
                <w:color w:val="000000"/>
                <w:sz w:val="22"/>
                <w:szCs w:val="24"/>
              </w:rPr>
            </w:pPr>
          </w:p>
        </w:tc>
        <w:tc>
          <w:tcPr>
            <w:tcW w:w="1847" w:type="dxa"/>
            <w:vMerge w:val="restart"/>
            <w:tcBorders>
              <w:top w:val="nil"/>
              <w:left w:val="single" w:color="auto" w:sz="4" w:space="0"/>
              <w:bottom w:val="single" w:color="auto" w:sz="4" w:space="0"/>
              <w:right w:val="single" w:color="auto" w:sz="4" w:space="0"/>
              <w:tl2br w:val="nil"/>
              <w:tr2bl w:val="nil"/>
            </w:tcBorders>
            <w:noWrap w:val="0"/>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整改反馈（8分）</w:t>
            </w:r>
          </w:p>
        </w:tc>
        <w:tc>
          <w:tcPr>
            <w:tcW w:w="1913"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结果整改</w:t>
            </w:r>
          </w:p>
        </w:tc>
        <w:tc>
          <w:tcPr>
            <w:tcW w:w="1420"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4</w:t>
            </w:r>
          </w:p>
        </w:tc>
        <w:tc>
          <w:tcPr>
            <w:tcW w:w="1560"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340" w:type="dxa"/>
            <w:vMerge w:val="continue"/>
            <w:tcBorders>
              <w:top w:val="nil"/>
              <w:left w:val="single" w:color="auto" w:sz="4" w:space="0"/>
              <w:bottom w:val="single" w:color="auto" w:sz="4" w:space="0"/>
              <w:right w:val="single" w:color="auto" w:sz="4" w:space="0"/>
              <w:tl2br w:val="nil"/>
              <w:tr2bl w:val="nil"/>
            </w:tcBorders>
            <w:noWrap w:val="0"/>
            <w:vAlign w:val="center"/>
          </w:tcPr>
          <w:p>
            <w:pPr>
              <w:widowControl/>
              <w:rPr>
                <w:rFonts w:hint="default" w:ascii="等线" w:hAnsi="等线" w:eastAsia="等线"/>
                <w:color w:val="000000"/>
                <w:sz w:val="22"/>
                <w:szCs w:val="24"/>
              </w:rPr>
            </w:pPr>
          </w:p>
        </w:tc>
        <w:tc>
          <w:tcPr>
            <w:tcW w:w="1847" w:type="dxa"/>
            <w:vMerge w:val="continue"/>
            <w:tcBorders>
              <w:top w:val="nil"/>
              <w:left w:val="single" w:color="auto" w:sz="4" w:space="0"/>
              <w:bottom w:val="single" w:color="auto" w:sz="4" w:space="0"/>
              <w:right w:val="single" w:color="auto" w:sz="4" w:space="0"/>
              <w:tl2br w:val="nil"/>
              <w:tr2bl w:val="nil"/>
            </w:tcBorders>
            <w:noWrap w:val="0"/>
            <w:vAlign w:val="center"/>
          </w:tcPr>
          <w:p>
            <w:pPr>
              <w:widowControl/>
              <w:rPr>
                <w:rFonts w:hint="default" w:ascii="等线" w:hAnsi="等线" w:eastAsia="等线"/>
                <w:color w:val="000000"/>
                <w:sz w:val="22"/>
                <w:szCs w:val="24"/>
              </w:rPr>
            </w:pPr>
          </w:p>
        </w:tc>
        <w:tc>
          <w:tcPr>
            <w:tcW w:w="1913"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应用反馈</w:t>
            </w:r>
          </w:p>
        </w:tc>
        <w:tc>
          <w:tcPr>
            <w:tcW w:w="1420"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4</w:t>
            </w:r>
          </w:p>
        </w:tc>
        <w:tc>
          <w:tcPr>
            <w:tcW w:w="1560"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520"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总分</w:t>
            </w:r>
          </w:p>
        </w:tc>
        <w:tc>
          <w:tcPr>
            <w:tcW w:w="1560" w:type="dxa"/>
            <w:tcBorders>
              <w:top w:val="nil"/>
              <w:left w:val="nil"/>
              <w:bottom w:val="single" w:color="auto" w:sz="4" w:space="0"/>
              <w:right w:val="single" w:color="auto" w:sz="4" w:space="0"/>
              <w:tl2br w:val="nil"/>
              <w:tr2bl w:val="nil"/>
            </w:tcBorders>
            <w:noWrap/>
            <w:vAlign w:val="center"/>
          </w:tcPr>
          <w:p>
            <w:pPr>
              <w:widowControl/>
              <w:jc w:val="center"/>
              <w:rPr>
                <w:rFonts w:hint="default" w:ascii="等线" w:hAnsi="等线" w:eastAsia="等线"/>
                <w:color w:val="000000"/>
                <w:sz w:val="22"/>
                <w:szCs w:val="24"/>
              </w:rPr>
            </w:pPr>
            <w:r>
              <w:rPr>
                <w:rFonts w:hint="default" w:ascii="等线" w:hAnsi="等线" w:eastAsia="等线"/>
                <w:color w:val="000000"/>
                <w:sz w:val="22"/>
                <w:szCs w:val="24"/>
              </w:rPr>
              <w:t>95分</w:t>
            </w:r>
          </w:p>
        </w:tc>
      </w:tr>
    </w:tbl>
    <w:p>
      <w:pPr>
        <w:widowControl/>
        <w:autoSpaceDE/>
        <w:autoSpaceDN/>
        <w:snapToGrid w:val="0"/>
        <w:spacing w:line="576" w:lineRule="exact"/>
        <w:ind w:firstLine="643" w:firstLineChars="200"/>
        <w:rPr>
          <w:rFonts w:hint="eastAsia" w:ascii="仿宋_GB2312" w:hAnsi="仿宋_GB2312" w:eastAsia="仿宋_GB2312"/>
          <w:b/>
          <w:i/>
          <w:color w:val="FF0000"/>
          <w:kern w:val="2"/>
          <w:sz w:val="32"/>
          <w:szCs w:val="24"/>
        </w:rPr>
      </w:pPr>
      <w:r>
        <w:rPr>
          <w:rFonts w:hint="eastAsia" w:ascii="仿宋_GB2312" w:hAnsi="仿宋_GB2312" w:eastAsia="仿宋_GB2312"/>
          <w:b/>
          <w:i/>
          <w:color w:val="FF0000"/>
          <w:kern w:val="2"/>
          <w:sz w:val="32"/>
          <w:szCs w:val="24"/>
        </w:rPr>
        <w:t xml:space="preserve"> </w:t>
      </w:r>
    </w:p>
    <w:p>
      <w:pPr>
        <w:pStyle w:val="6"/>
        <w:rPr>
          <w:rFonts w:hint="eastAsia"/>
          <w:sz w:val="44"/>
          <w:szCs w:val="24"/>
          <w:lang w:val="zh-CN"/>
        </w:rPr>
      </w:pPr>
    </w:p>
    <w:p>
      <w:pPr>
        <w:pStyle w:val="2"/>
        <w:autoSpaceDE/>
        <w:autoSpaceDN/>
        <w:spacing w:line="560" w:lineRule="exact"/>
        <w:ind w:left="480" w:firstLine="640"/>
        <w:rPr>
          <w:rFonts w:hint="eastAsia" w:hAnsi="仿宋_GB2312"/>
          <w:sz w:val="32"/>
          <w:szCs w:val="24"/>
          <w:lang w:val="zh-CN"/>
        </w:rPr>
      </w:pPr>
    </w:p>
    <w:p>
      <w:pPr>
        <w:pStyle w:val="2"/>
        <w:autoSpaceDE/>
        <w:autoSpaceDN/>
        <w:spacing w:line="560" w:lineRule="exact"/>
        <w:ind w:leftChars="0" w:firstLine="0" w:firstLineChars="0"/>
        <w:rPr>
          <w:rFonts w:hint="eastAsia" w:hAnsi="仿宋_GB2312"/>
          <w:sz w:val="32"/>
          <w:szCs w:val="24"/>
          <w:lang w:val="zh-CN"/>
        </w:rPr>
      </w:pPr>
      <w:r>
        <w:rPr>
          <w:rFonts w:hint="eastAsia" w:hAnsi="仿宋_GB2312"/>
          <w:sz w:val="32"/>
          <w:szCs w:val="24"/>
          <w:lang w:val="zh-CN"/>
        </w:rPr>
        <w:t>附表：</w:t>
      </w:r>
      <w:r>
        <w:rPr>
          <w:rFonts w:hint="eastAsia" w:hAnsi="仿宋_GB2312"/>
          <w:sz w:val="32"/>
          <w:szCs w:val="24"/>
        </w:rPr>
        <w:t>部门预算项目支出绩效自评表（2022年度）</w:t>
      </w:r>
    </w:p>
    <w:tbl>
      <w:tblPr>
        <w:tblStyle w:val="11"/>
        <w:tblW w:w="89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9"/>
        <w:gridCol w:w="1033"/>
        <w:gridCol w:w="1031"/>
        <w:gridCol w:w="1031"/>
        <w:gridCol w:w="687"/>
        <w:gridCol w:w="614"/>
        <w:gridCol w:w="113"/>
        <w:gridCol w:w="589"/>
        <w:gridCol w:w="861"/>
        <w:gridCol w:w="510"/>
        <w:gridCol w:w="450"/>
        <w:gridCol w:w="1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trPr>
        <w:tc>
          <w:tcPr>
            <w:tcW w:w="8996" w:type="dxa"/>
            <w:gridSpan w:val="12"/>
            <w:tcBorders>
              <w:top w:val="nil"/>
              <w:left w:val="nil"/>
              <w:bottom w:val="nil"/>
              <w:right w:val="nil"/>
              <w:tl2br w:val="nil"/>
              <w:tr2bl w:val="nil"/>
            </w:tcBorders>
            <w:noWrap w:val="0"/>
            <w:vAlign w:val="center"/>
          </w:tcPr>
          <w:p>
            <w:pPr>
              <w:widowControl/>
              <w:jc w:val="center"/>
              <w:textAlignment w:val="center"/>
              <w:rPr>
                <w:rFonts w:hint="default" w:ascii="黑体" w:hAnsi="宋体" w:eastAsia="黑体"/>
                <w:b/>
                <w:color w:val="000000"/>
                <w:sz w:val="30"/>
                <w:szCs w:val="24"/>
              </w:rPr>
            </w:pPr>
            <w:r>
              <w:rPr>
                <w:rFonts w:hint="default" w:ascii="黑体" w:hAnsi="宋体" w:eastAsia="黑体"/>
                <w:b/>
                <w:color w:val="000000"/>
                <w:sz w:val="30"/>
                <w:szCs w:val="24"/>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textAlignment w:val="center"/>
              <w:rPr>
                <w:rFonts w:hint="eastAsia" w:hAnsi="宋体"/>
                <w:color w:val="000000"/>
                <w:sz w:val="18"/>
                <w:szCs w:val="24"/>
              </w:rPr>
            </w:pPr>
            <w:r>
              <w:rPr>
                <w:rFonts w:hint="eastAsia" w:hAnsi="宋体"/>
                <w:color w:val="000000"/>
                <w:sz w:val="18"/>
                <w:szCs w:val="24"/>
              </w:rPr>
              <w:t>项目名称</w:t>
            </w:r>
          </w:p>
        </w:tc>
        <w:tc>
          <w:tcPr>
            <w:tcW w:w="727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textAlignment w:val="center"/>
              <w:rPr>
                <w:rFonts w:hint="eastAsia" w:hAnsi="宋体"/>
                <w:color w:val="000000"/>
                <w:sz w:val="18"/>
                <w:szCs w:val="24"/>
              </w:rPr>
            </w:pPr>
            <w:r>
              <w:rPr>
                <w:rFonts w:hint="eastAsia" w:hAnsi="宋体"/>
                <w:color w:val="000000"/>
                <w:sz w:val="18"/>
                <w:szCs w:val="24"/>
              </w:rPr>
              <w:t>51180022T000000438094-干部培训专项经费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7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主管部门</w:t>
            </w:r>
          </w:p>
        </w:tc>
        <w:tc>
          <w:tcPr>
            <w:tcW w:w="406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中国共产党雅安市纪律检查委员会</w:t>
            </w:r>
          </w:p>
        </w:tc>
        <w:tc>
          <w:tcPr>
            <w:tcW w:w="8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实施单位 （盖章）</w:t>
            </w:r>
          </w:p>
        </w:tc>
        <w:tc>
          <w:tcPr>
            <w:tcW w:w="234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中国共产党雅安市纪律检查委员会机关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9"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项目基本情况</w:t>
            </w:r>
          </w:p>
        </w:tc>
        <w:tc>
          <w:tcPr>
            <w:tcW w:w="1033" w:type="dxa"/>
            <w:vMerge w:val="restart"/>
            <w:tcBorders>
              <w:top w:val="nil"/>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1.项目年度目标完成情况</w:t>
            </w:r>
          </w:p>
        </w:tc>
        <w:tc>
          <w:tcPr>
            <w:tcW w:w="4065" w:type="dxa"/>
            <w:gridSpan w:val="6"/>
            <w:tcBorders>
              <w:top w:val="nil"/>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项目年度目标</w:t>
            </w:r>
          </w:p>
        </w:tc>
        <w:tc>
          <w:tcPr>
            <w:tcW w:w="3209" w:type="dxa"/>
            <w:gridSpan w:val="4"/>
            <w:tcBorders>
              <w:top w:val="nil"/>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89" w:type="dxa"/>
            <w:vMerge w:val="continue"/>
            <w:tcBorders>
              <w:top w:val="nil"/>
              <w:left w:val="single" w:color="000000" w:sz="4" w:space="0"/>
              <w:bottom w:val="single" w:color="000000" w:sz="4" w:space="0"/>
              <w:right w:val="single" w:color="000000" w:sz="4" w:space="0"/>
              <w:tl2br w:val="nil"/>
              <w:tr2bl w:val="nil"/>
            </w:tcBorders>
            <w:noWrap w:val="0"/>
            <w:vAlign w:val="center"/>
          </w:tcPr>
          <w:p>
            <w:pPr>
              <w:autoSpaceDE/>
              <w:autoSpaceDN/>
              <w:adjustRightInd/>
              <w:spacing w:line="220" w:lineRule="exact"/>
              <w:rPr>
                <w:rFonts w:hint="eastAsia" w:ascii="仿宋_GB2312" w:hAnsi="仿宋_GB2312" w:eastAsia="仿宋_GB2312"/>
                <w:color w:val="000000"/>
                <w:sz w:val="15"/>
                <w:szCs w:val="24"/>
              </w:rPr>
            </w:pPr>
          </w:p>
        </w:tc>
        <w:tc>
          <w:tcPr>
            <w:tcW w:w="1033" w:type="dxa"/>
            <w:vMerge w:val="continue"/>
            <w:tcBorders>
              <w:top w:val="nil"/>
              <w:left w:val="single" w:color="000000" w:sz="4" w:space="0"/>
              <w:bottom w:val="single" w:color="000000" w:sz="4" w:space="0"/>
              <w:right w:val="single" w:color="000000" w:sz="4" w:space="0"/>
              <w:tl2br w:val="nil"/>
              <w:tr2bl w:val="nil"/>
            </w:tcBorders>
            <w:noWrap w:val="0"/>
            <w:vAlign w:val="center"/>
          </w:tcPr>
          <w:p>
            <w:pPr>
              <w:autoSpaceDE/>
              <w:autoSpaceDN/>
              <w:adjustRightInd/>
              <w:spacing w:line="220" w:lineRule="exact"/>
              <w:rPr>
                <w:rFonts w:hint="eastAsia" w:ascii="仿宋_GB2312" w:hAnsi="仿宋_GB2312" w:eastAsia="仿宋_GB2312"/>
                <w:color w:val="000000"/>
                <w:sz w:val="15"/>
                <w:szCs w:val="24"/>
              </w:rPr>
            </w:pPr>
          </w:p>
        </w:tc>
        <w:tc>
          <w:tcPr>
            <w:tcW w:w="406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聚焦这高素质专业化纪检监察干部队伍建设，分层分类组织抓好全员培训工作，为推动新时代纪检监察工作高质量发展提供人才支持和保障。</w:t>
            </w:r>
          </w:p>
        </w:tc>
        <w:tc>
          <w:tcPr>
            <w:tcW w:w="320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培训全市乡镇（街道）纪（工）委书记、副书记99人，承接省纪委监委第二片区培训工作，培训5个市（州）乡镇（街道）纪委（纪工委）书记365人。深化岗位练兵、实战练兵。乡镇（街道）专职纪检监察干部到上级纪委监委参与办案91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89" w:type="dxa"/>
            <w:vMerge w:val="continue"/>
            <w:tcBorders>
              <w:top w:val="nil"/>
              <w:left w:val="single" w:color="000000" w:sz="4" w:space="0"/>
              <w:bottom w:val="single" w:color="000000" w:sz="4" w:space="0"/>
              <w:right w:val="single" w:color="000000" w:sz="4" w:space="0"/>
              <w:tl2br w:val="nil"/>
              <w:tr2bl w:val="nil"/>
            </w:tcBorders>
            <w:noWrap w:val="0"/>
            <w:vAlign w:val="center"/>
          </w:tcPr>
          <w:p>
            <w:pPr>
              <w:autoSpaceDE/>
              <w:autoSpaceDN/>
              <w:adjustRightInd/>
              <w:spacing w:line="220" w:lineRule="exact"/>
              <w:rPr>
                <w:rFonts w:hint="eastAsia" w:ascii="仿宋_GB2312" w:hAnsi="仿宋_GB2312" w:eastAsia="仿宋_GB2312"/>
                <w:color w:val="000000"/>
                <w:sz w:val="15"/>
                <w:szCs w:val="24"/>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2.项目实施内容及过程概述</w:t>
            </w:r>
          </w:p>
        </w:tc>
        <w:tc>
          <w:tcPr>
            <w:tcW w:w="727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20" w:lineRule="exact"/>
              <w:rPr>
                <w:rFonts w:hint="eastAsia" w:ascii="仿宋_GB2312" w:hAnsi="仿宋_GB2312" w:eastAsia="仿宋_GB2312"/>
                <w:color w:val="000000"/>
                <w:sz w:val="15"/>
                <w:szCs w:val="24"/>
              </w:rPr>
            </w:pPr>
            <w:r>
              <w:rPr>
                <w:rFonts w:hint="eastAsia" w:ascii="仿宋_GB2312" w:hAnsi="仿宋_GB2312" w:eastAsia="仿宋_GB2312"/>
                <w:sz w:val="15"/>
                <w:szCs w:val="24"/>
                <w:lang w:val="zh-CN"/>
              </w:rPr>
              <w:t>年初由市纪委监委组织部制定年度培训计划，留置管理中心统一编制年度预算、汇总年终决算。执行过程中严格按《中共雅安市纪委机关 雅安市监察委员会政府采购业务管理制度》和《委机关财务管理制度（试行）》等制度支出费用。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预算执行情况（10分）</w:t>
            </w: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年度预算数（万元）</w:t>
            </w:r>
          </w:p>
        </w:tc>
        <w:tc>
          <w:tcPr>
            <w:tcW w:w="10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年初预算</w:t>
            </w:r>
          </w:p>
        </w:tc>
        <w:tc>
          <w:tcPr>
            <w:tcW w:w="10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调整后预算数</w:t>
            </w:r>
          </w:p>
        </w:tc>
        <w:tc>
          <w:tcPr>
            <w:tcW w:w="200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预算执行数</w:t>
            </w:r>
          </w:p>
        </w:tc>
        <w:tc>
          <w:tcPr>
            <w:tcW w:w="8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预算执行率</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权重</w:t>
            </w:r>
          </w:p>
        </w:tc>
        <w:tc>
          <w:tcPr>
            <w:tcW w:w="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得分</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20" w:lineRule="exact"/>
              <w:jc w:val="center"/>
              <w:rPr>
                <w:rFonts w:hint="eastAsia" w:ascii="仿宋_GB2312" w:hAnsi="仿宋_GB2312" w:eastAsia="仿宋_GB2312"/>
                <w:color w:val="000000"/>
                <w:sz w:val="15"/>
                <w:szCs w:val="24"/>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总额</w:t>
            </w:r>
          </w:p>
        </w:tc>
        <w:tc>
          <w:tcPr>
            <w:tcW w:w="10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90.00</w:t>
            </w:r>
          </w:p>
        </w:tc>
        <w:tc>
          <w:tcPr>
            <w:tcW w:w="10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44.61</w:t>
            </w:r>
          </w:p>
        </w:tc>
        <w:tc>
          <w:tcPr>
            <w:tcW w:w="200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44.61</w:t>
            </w:r>
          </w:p>
        </w:tc>
        <w:tc>
          <w:tcPr>
            <w:tcW w:w="8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100.00%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10</w:t>
            </w:r>
          </w:p>
        </w:tc>
        <w:tc>
          <w:tcPr>
            <w:tcW w:w="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20" w:lineRule="exact"/>
              <w:jc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10</w:t>
            </w:r>
          </w:p>
        </w:tc>
        <w:tc>
          <w:tcPr>
            <w:tcW w:w="138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textAlignment w:val="center"/>
              <w:rPr>
                <w:rFonts w:hint="eastAsia" w:ascii="仿宋_GB2312" w:hAnsi="仿宋_GB2312" w:eastAsia="仿宋_GB2312"/>
                <w:color w:val="000000"/>
                <w:sz w:val="15"/>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8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20" w:lineRule="exact"/>
              <w:jc w:val="center"/>
              <w:rPr>
                <w:rFonts w:hint="eastAsia" w:ascii="仿宋_GB2312" w:hAnsi="仿宋_GB2312" w:eastAsia="仿宋_GB2312"/>
                <w:color w:val="000000"/>
                <w:sz w:val="15"/>
                <w:szCs w:val="24"/>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其中：财政资金</w:t>
            </w:r>
          </w:p>
        </w:tc>
        <w:tc>
          <w:tcPr>
            <w:tcW w:w="10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90.00</w:t>
            </w:r>
          </w:p>
        </w:tc>
        <w:tc>
          <w:tcPr>
            <w:tcW w:w="10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44.61</w:t>
            </w:r>
          </w:p>
        </w:tc>
        <w:tc>
          <w:tcPr>
            <w:tcW w:w="200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44.61</w:t>
            </w:r>
          </w:p>
        </w:tc>
        <w:tc>
          <w:tcPr>
            <w:tcW w:w="8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100.00%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w:t>
            </w:r>
          </w:p>
        </w:tc>
        <w:tc>
          <w:tcPr>
            <w:tcW w:w="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w:t>
            </w:r>
          </w:p>
        </w:tc>
        <w:tc>
          <w:tcPr>
            <w:tcW w:w="13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20" w:lineRule="exact"/>
              <w:rPr>
                <w:rFonts w:hint="eastAsia" w:ascii="仿宋_GB2312" w:hAnsi="仿宋_GB2312" w:eastAsia="仿宋_GB2312"/>
                <w:i/>
                <w:color w:val="000000"/>
                <w:sz w:val="15"/>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20" w:lineRule="exact"/>
              <w:jc w:val="center"/>
              <w:rPr>
                <w:rFonts w:hint="eastAsia" w:ascii="仿宋_GB2312" w:hAnsi="仿宋_GB2312" w:eastAsia="仿宋_GB2312"/>
                <w:color w:val="000000"/>
                <w:sz w:val="15"/>
                <w:szCs w:val="24"/>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财政专户管理资金</w:t>
            </w:r>
          </w:p>
        </w:tc>
        <w:tc>
          <w:tcPr>
            <w:tcW w:w="10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0.00</w:t>
            </w:r>
          </w:p>
        </w:tc>
        <w:tc>
          <w:tcPr>
            <w:tcW w:w="10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0.00</w:t>
            </w:r>
          </w:p>
        </w:tc>
        <w:tc>
          <w:tcPr>
            <w:tcW w:w="200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0.00</w:t>
            </w:r>
          </w:p>
        </w:tc>
        <w:tc>
          <w:tcPr>
            <w:tcW w:w="8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0.00%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w:t>
            </w:r>
          </w:p>
        </w:tc>
        <w:tc>
          <w:tcPr>
            <w:tcW w:w="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w:t>
            </w:r>
          </w:p>
        </w:tc>
        <w:tc>
          <w:tcPr>
            <w:tcW w:w="13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20" w:lineRule="exact"/>
              <w:rPr>
                <w:rFonts w:hint="eastAsia" w:ascii="仿宋_GB2312" w:hAnsi="仿宋_GB2312" w:eastAsia="仿宋_GB2312"/>
                <w:i/>
                <w:color w:val="000000"/>
                <w:sz w:val="15"/>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68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20" w:lineRule="exact"/>
              <w:jc w:val="center"/>
              <w:rPr>
                <w:rFonts w:hint="eastAsia" w:ascii="仿宋_GB2312" w:hAnsi="仿宋_GB2312" w:eastAsia="仿宋_GB2312"/>
                <w:color w:val="000000"/>
                <w:sz w:val="15"/>
                <w:szCs w:val="24"/>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单位资金</w:t>
            </w:r>
          </w:p>
        </w:tc>
        <w:tc>
          <w:tcPr>
            <w:tcW w:w="10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0.00</w:t>
            </w:r>
          </w:p>
        </w:tc>
        <w:tc>
          <w:tcPr>
            <w:tcW w:w="10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0.00</w:t>
            </w:r>
          </w:p>
        </w:tc>
        <w:tc>
          <w:tcPr>
            <w:tcW w:w="200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0.00</w:t>
            </w:r>
          </w:p>
        </w:tc>
        <w:tc>
          <w:tcPr>
            <w:tcW w:w="8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0.00%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w:t>
            </w:r>
          </w:p>
        </w:tc>
        <w:tc>
          <w:tcPr>
            <w:tcW w:w="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w:t>
            </w:r>
          </w:p>
        </w:tc>
        <w:tc>
          <w:tcPr>
            <w:tcW w:w="13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20" w:lineRule="exact"/>
              <w:rPr>
                <w:rFonts w:hint="eastAsia" w:ascii="仿宋_GB2312" w:hAnsi="仿宋_GB2312" w:eastAsia="仿宋_GB2312"/>
                <w:i/>
                <w:color w:val="000000"/>
                <w:sz w:val="15"/>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8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20" w:lineRule="exact"/>
              <w:jc w:val="center"/>
              <w:rPr>
                <w:rFonts w:hint="eastAsia" w:ascii="仿宋_GB2312" w:hAnsi="仿宋_GB2312" w:eastAsia="仿宋_GB2312"/>
                <w:color w:val="000000"/>
                <w:sz w:val="15"/>
                <w:szCs w:val="24"/>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其他资金</w:t>
            </w:r>
          </w:p>
        </w:tc>
        <w:tc>
          <w:tcPr>
            <w:tcW w:w="10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20" w:lineRule="exact"/>
              <w:jc w:val="center"/>
              <w:rPr>
                <w:rFonts w:hint="eastAsia" w:ascii="仿宋_GB2312" w:hAnsi="仿宋_GB2312" w:eastAsia="仿宋_GB2312"/>
                <w:i/>
                <w:color w:val="000000"/>
                <w:sz w:val="15"/>
                <w:szCs w:val="24"/>
              </w:rPr>
            </w:pPr>
          </w:p>
        </w:tc>
        <w:tc>
          <w:tcPr>
            <w:tcW w:w="10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20" w:lineRule="exact"/>
              <w:jc w:val="center"/>
              <w:rPr>
                <w:rFonts w:hint="eastAsia" w:ascii="仿宋_GB2312" w:hAnsi="仿宋_GB2312" w:eastAsia="仿宋_GB2312"/>
                <w:i/>
                <w:color w:val="000000"/>
                <w:sz w:val="15"/>
                <w:szCs w:val="24"/>
              </w:rPr>
            </w:pPr>
          </w:p>
        </w:tc>
        <w:tc>
          <w:tcPr>
            <w:tcW w:w="200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20" w:lineRule="exact"/>
              <w:jc w:val="center"/>
              <w:rPr>
                <w:rFonts w:hint="eastAsia" w:ascii="仿宋_GB2312" w:hAnsi="仿宋_GB2312" w:eastAsia="仿宋_GB2312"/>
                <w:i/>
                <w:color w:val="000000"/>
                <w:sz w:val="15"/>
                <w:szCs w:val="24"/>
              </w:rPr>
            </w:pPr>
          </w:p>
        </w:tc>
        <w:tc>
          <w:tcPr>
            <w:tcW w:w="8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20" w:lineRule="exact"/>
              <w:jc w:val="center"/>
              <w:rPr>
                <w:rFonts w:hint="eastAsia" w:ascii="仿宋_GB2312" w:hAnsi="仿宋_GB2312" w:eastAsia="仿宋_GB2312"/>
                <w:i/>
                <w:color w:val="000000"/>
                <w:sz w:val="15"/>
                <w:szCs w:val="24"/>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w:t>
            </w:r>
          </w:p>
        </w:tc>
        <w:tc>
          <w:tcPr>
            <w:tcW w:w="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w:t>
            </w:r>
          </w:p>
        </w:tc>
        <w:tc>
          <w:tcPr>
            <w:tcW w:w="13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20" w:lineRule="exact"/>
              <w:rPr>
                <w:rFonts w:hint="eastAsia" w:ascii="仿宋_GB2312" w:hAnsi="仿宋_GB2312" w:eastAsia="仿宋_GB2312"/>
                <w:i/>
                <w:color w:val="000000"/>
                <w:sz w:val="15"/>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68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绩效指标（90分）</w:t>
            </w: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一级指标</w:t>
            </w:r>
          </w:p>
        </w:tc>
        <w:tc>
          <w:tcPr>
            <w:tcW w:w="10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二级指标</w:t>
            </w:r>
          </w:p>
        </w:tc>
        <w:tc>
          <w:tcPr>
            <w:tcW w:w="10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三级指标</w:t>
            </w:r>
          </w:p>
        </w:tc>
        <w:tc>
          <w:tcPr>
            <w:tcW w:w="6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指标性质</w:t>
            </w:r>
          </w:p>
        </w:tc>
        <w:tc>
          <w:tcPr>
            <w:tcW w:w="6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指标值</w:t>
            </w:r>
          </w:p>
        </w:tc>
        <w:tc>
          <w:tcPr>
            <w:tcW w:w="7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度量单位</w:t>
            </w:r>
          </w:p>
        </w:tc>
        <w:tc>
          <w:tcPr>
            <w:tcW w:w="8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完成值</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权重</w:t>
            </w:r>
          </w:p>
        </w:tc>
        <w:tc>
          <w:tcPr>
            <w:tcW w:w="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得分</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20" w:lineRule="exact"/>
              <w:jc w:val="center"/>
              <w:rPr>
                <w:rFonts w:hint="eastAsia" w:ascii="仿宋_GB2312" w:hAnsi="仿宋_GB2312" w:eastAsia="仿宋_GB2312"/>
                <w:color w:val="000000"/>
                <w:sz w:val="15"/>
                <w:szCs w:val="24"/>
              </w:rPr>
            </w:pPr>
          </w:p>
        </w:tc>
        <w:tc>
          <w:tcPr>
            <w:tcW w:w="103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产出指标</w:t>
            </w:r>
          </w:p>
        </w:tc>
        <w:tc>
          <w:tcPr>
            <w:tcW w:w="103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数量指标</w:t>
            </w:r>
          </w:p>
        </w:tc>
        <w:tc>
          <w:tcPr>
            <w:tcW w:w="10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培训班次</w:t>
            </w:r>
          </w:p>
        </w:tc>
        <w:tc>
          <w:tcPr>
            <w:tcW w:w="6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w:t>
            </w:r>
          </w:p>
        </w:tc>
        <w:tc>
          <w:tcPr>
            <w:tcW w:w="6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6</w:t>
            </w:r>
          </w:p>
        </w:tc>
        <w:tc>
          <w:tcPr>
            <w:tcW w:w="7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期</w:t>
            </w:r>
          </w:p>
        </w:tc>
        <w:tc>
          <w:tcPr>
            <w:tcW w:w="8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4</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10</w:t>
            </w:r>
          </w:p>
        </w:tc>
        <w:tc>
          <w:tcPr>
            <w:tcW w:w="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8</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20" w:lineRule="exact"/>
              <w:jc w:val="center"/>
              <w:rPr>
                <w:rFonts w:hint="eastAsia" w:ascii="仿宋_GB2312" w:hAnsi="仿宋_GB2312" w:eastAsia="仿宋_GB2312"/>
                <w:i/>
                <w:color w:val="000000"/>
                <w:sz w:val="15"/>
                <w:szCs w:val="24"/>
              </w:rPr>
            </w:pPr>
            <w:r>
              <w:rPr>
                <w:rFonts w:hint="eastAsia" w:ascii="仿宋_GB2312" w:hAnsi="仿宋_GB2312" w:eastAsia="仿宋_GB2312"/>
                <w:color w:val="000000"/>
                <w:sz w:val="15"/>
                <w:szCs w:val="24"/>
              </w:rPr>
              <w:t>由受疫情影响，2期培训班未能举行。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20" w:lineRule="exact"/>
              <w:jc w:val="center"/>
              <w:rPr>
                <w:rFonts w:hint="eastAsia" w:ascii="仿宋_GB2312" w:hAnsi="仿宋_GB2312" w:eastAsia="仿宋_GB2312"/>
                <w:color w:val="000000"/>
                <w:sz w:val="15"/>
                <w:szCs w:val="24"/>
              </w:rPr>
            </w:pPr>
          </w:p>
        </w:tc>
        <w:tc>
          <w:tcPr>
            <w:tcW w:w="103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20" w:lineRule="exact"/>
              <w:jc w:val="center"/>
              <w:rPr>
                <w:rFonts w:hint="eastAsia" w:ascii="仿宋_GB2312" w:hAnsi="仿宋_GB2312" w:eastAsia="仿宋_GB2312"/>
                <w:color w:val="000000"/>
                <w:sz w:val="15"/>
                <w:szCs w:val="24"/>
              </w:rPr>
            </w:pPr>
          </w:p>
        </w:tc>
        <w:tc>
          <w:tcPr>
            <w:tcW w:w="103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20" w:lineRule="exact"/>
              <w:jc w:val="center"/>
              <w:rPr>
                <w:rFonts w:hint="eastAsia" w:ascii="仿宋_GB2312" w:hAnsi="仿宋_GB2312" w:eastAsia="仿宋_GB2312"/>
                <w:color w:val="000000"/>
                <w:sz w:val="15"/>
                <w:szCs w:val="24"/>
              </w:rPr>
            </w:pPr>
          </w:p>
        </w:tc>
        <w:tc>
          <w:tcPr>
            <w:tcW w:w="10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培训人数</w:t>
            </w:r>
          </w:p>
        </w:tc>
        <w:tc>
          <w:tcPr>
            <w:tcW w:w="6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w:t>
            </w:r>
          </w:p>
        </w:tc>
        <w:tc>
          <w:tcPr>
            <w:tcW w:w="6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600</w:t>
            </w:r>
          </w:p>
        </w:tc>
        <w:tc>
          <w:tcPr>
            <w:tcW w:w="7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人数</w:t>
            </w:r>
          </w:p>
        </w:tc>
        <w:tc>
          <w:tcPr>
            <w:tcW w:w="8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600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20</w:t>
            </w:r>
          </w:p>
        </w:tc>
        <w:tc>
          <w:tcPr>
            <w:tcW w:w="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20</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20" w:lineRule="exact"/>
              <w:jc w:val="center"/>
              <w:rPr>
                <w:rFonts w:hint="eastAsia" w:ascii="仿宋_GB2312" w:hAnsi="仿宋_GB2312" w:eastAsia="仿宋_GB2312"/>
                <w:i/>
                <w:color w:val="000000"/>
                <w:sz w:val="15"/>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68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20" w:lineRule="exact"/>
              <w:jc w:val="center"/>
              <w:rPr>
                <w:rFonts w:hint="eastAsia" w:ascii="仿宋_GB2312" w:hAnsi="仿宋_GB2312" w:eastAsia="仿宋_GB2312"/>
                <w:color w:val="000000"/>
                <w:sz w:val="15"/>
                <w:szCs w:val="24"/>
              </w:rPr>
            </w:pPr>
          </w:p>
        </w:tc>
        <w:tc>
          <w:tcPr>
            <w:tcW w:w="103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20" w:lineRule="exact"/>
              <w:jc w:val="center"/>
              <w:rPr>
                <w:rFonts w:hint="eastAsia" w:ascii="仿宋_GB2312" w:hAnsi="仿宋_GB2312" w:eastAsia="仿宋_GB2312"/>
                <w:color w:val="000000"/>
                <w:sz w:val="15"/>
                <w:szCs w:val="24"/>
              </w:rPr>
            </w:pPr>
          </w:p>
        </w:tc>
        <w:tc>
          <w:tcPr>
            <w:tcW w:w="10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质量指标</w:t>
            </w:r>
          </w:p>
        </w:tc>
        <w:tc>
          <w:tcPr>
            <w:tcW w:w="10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培训人员合格率</w:t>
            </w:r>
          </w:p>
        </w:tc>
        <w:tc>
          <w:tcPr>
            <w:tcW w:w="6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w:t>
            </w:r>
          </w:p>
        </w:tc>
        <w:tc>
          <w:tcPr>
            <w:tcW w:w="6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90</w:t>
            </w:r>
          </w:p>
        </w:tc>
        <w:tc>
          <w:tcPr>
            <w:tcW w:w="7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w:t>
            </w:r>
          </w:p>
        </w:tc>
        <w:tc>
          <w:tcPr>
            <w:tcW w:w="8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20</w:t>
            </w:r>
          </w:p>
        </w:tc>
        <w:tc>
          <w:tcPr>
            <w:tcW w:w="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20</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20" w:lineRule="exact"/>
              <w:jc w:val="center"/>
              <w:rPr>
                <w:rFonts w:hint="eastAsia" w:ascii="仿宋_GB2312" w:hAnsi="仿宋_GB2312" w:eastAsia="仿宋_GB2312"/>
                <w:i/>
                <w:color w:val="000000"/>
                <w:sz w:val="15"/>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20" w:lineRule="exact"/>
              <w:jc w:val="center"/>
              <w:rPr>
                <w:rFonts w:hint="eastAsia" w:ascii="仿宋_GB2312" w:hAnsi="仿宋_GB2312" w:eastAsia="仿宋_GB2312"/>
                <w:color w:val="000000"/>
                <w:sz w:val="15"/>
                <w:szCs w:val="24"/>
              </w:rPr>
            </w:pPr>
          </w:p>
        </w:tc>
        <w:tc>
          <w:tcPr>
            <w:tcW w:w="103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20" w:lineRule="exact"/>
              <w:jc w:val="center"/>
              <w:rPr>
                <w:rFonts w:hint="eastAsia" w:ascii="仿宋_GB2312" w:hAnsi="仿宋_GB2312" w:eastAsia="仿宋_GB2312"/>
                <w:color w:val="000000"/>
                <w:sz w:val="15"/>
                <w:szCs w:val="24"/>
              </w:rPr>
            </w:pPr>
          </w:p>
        </w:tc>
        <w:tc>
          <w:tcPr>
            <w:tcW w:w="10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时效指标</w:t>
            </w:r>
          </w:p>
        </w:tc>
        <w:tc>
          <w:tcPr>
            <w:tcW w:w="10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培训计划按期完成率</w:t>
            </w:r>
          </w:p>
        </w:tc>
        <w:tc>
          <w:tcPr>
            <w:tcW w:w="6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w:t>
            </w:r>
          </w:p>
        </w:tc>
        <w:tc>
          <w:tcPr>
            <w:tcW w:w="6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95</w:t>
            </w:r>
          </w:p>
        </w:tc>
        <w:tc>
          <w:tcPr>
            <w:tcW w:w="7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w:t>
            </w:r>
          </w:p>
        </w:tc>
        <w:tc>
          <w:tcPr>
            <w:tcW w:w="8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60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20</w:t>
            </w:r>
          </w:p>
        </w:tc>
        <w:tc>
          <w:tcPr>
            <w:tcW w:w="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18</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受疫情影响，8-10月未能如期举行培训班次。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8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20" w:lineRule="exact"/>
              <w:jc w:val="center"/>
              <w:rPr>
                <w:rFonts w:hint="eastAsia" w:ascii="仿宋_GB2312" w:hAnsi="仿宋_GB2312" w:eastAsia="仿宋_GB2312"/>
                <w:color w:val="000000"/>
                <w:sz w:val="15"/>
                <w:szCs w:val="24"/>
              </w:rPr>
            </w:pP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满意度指标</w:t>
            </w:r>
          </w:p>
        </w:tc>
        <w:tc>
          <w:tcPr>
            <w:tcW w:w="10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服务对象满意度指标</w:t>
            </w:r>
          </w:p>
        </w:tc>
        <w:tc>
          <w:tcPr>
            <w:tcW w:w="10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培训人员满意度</w:t>
            </w:r>
          </w:p>
        </w:tc>
        <w:tc>
          <w:tcPr>
            <w:tcW w:w="6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w:t>
            </w:r>
          </w:p>
        </w:tc>
        <w:tc>
          <w:tcPr>
            <w:tcW w:w="6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95</w:t>
            </w:r>
          </w:p>
        </w:tc>
        <w:tc>
          <w:tcPr>
            <w:tcW w:w="7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w:t>
            </w:r>
          </w:p>
        </w:tc>
        <w:tc>
          <w:tcPr>
            <w:tcW w:w="8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20</w:t>
            </w:r>
          </w:p>
        </w:tc>
        <w:tc>
          <w:tcPr>
            <w:tcW w:w="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20</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20" w:lineRule="exact"/>
              <w:jc w:val="center"/>
              <w:rPr>
                <w:rFonts w:hint="eastAsia" w:ascii="仿宋_GB2312" w:hAnsi="仿宋_GB2312" w:eastAsia="仿宋_GB2312"/>
                <w:i/>
                <w:color w:val="000000"/>
                <w:sz w:val="15"/>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64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合计</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100</w:t>
            </w:r>
          </w:p>
        </w:tc>
        <w:tc>
          <w:tcPr>
            <w:tcW w:w="4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96</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20" w:lineRule="exact"/>
              <w:rPr>
                <w:rFonts w:hint="eastAsia" w:ascii="仿宋_GB2312" w:hAnsi="仿宋_GB2312" w:eastAsia="仿宋_GB2312"/>
                <w:color w:val="000000"/>
                <w:sz w:val="15"/>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评价结论</w:t>
            </w:r>
          </w:p>
        </w:tc>
        <w:tc>
          <w:tcPr>
            <w:tcW w:w="830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textAlignment w:val="center"/>
              <w:rPr>
                <w:rFonts w:hint="eastAsia" w:ascii="仿宋_GB2312" w:hAnsi="仿宋_GB2312" w:eastAsia="仿宋_GB2312"/>
                <w:i/>
                <w:color w:val="000000"/>
                <w:sz w:val="15"/>
                <w:szCs w:val="24"/>
              </w:rPr>
            </w:pPr>
            <w:r>
              <w:rPr>
                <w:rFonts w:hint="eastAsia" w:ascii="仿宋_GB2312" w:hAnsi="仿宋_GB2312" w:eastAsia="仿宋_GB2312"/>
                <w:color w:val="000000"/>
                <w:sz w:val="15"/>
                <w:szCs w:val="24"/>
              </w:rPr>
              <w:t>总体来看，干部培训专项经费决策程序较严密，规划较合理；资金分配较及时、项目管理较规范；有效提高了纪检监察干部的业务、综合知识和实际操作能力，推动纪检监察干部政治素质和业务能力双提升。但受疫情影响，2022年8-10月未举办主体培训班，导致培训计划未能如期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存在问题</w:t>
            </w:r>
          </w:p>
        </w:tc>
        <w:tc>
          <w:tcPr>
            <w:tcW w:w="830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通过开展绩效自评，在绩效目标编制上需进一步规范，绩效结果运用需进一步的加强。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改进措施</w:t>
            </w:r>
          </w:p>
        </w:tc>
        <w:tc>
          <w:tcPr>
            <w:tcW w:w="830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　市纪委监委机关将严格按照相关要求，落实绩效管理主体责任，督促市纪委监委组织部扎实开展项目前期调研，收集项目相关数据，突出绩效目标细化量化工作，科学合理编制绩效目标。强化绩效结果应用，提高绩效管理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9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项目负责人：唐安萍</w:t>
            </w:r>
          </w:p>
        </w:tc>
        <w:tc>
          <w:tcPr>
            <w:tcW w:w="379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20" w:lineRule="exact"/>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财务负责人：赵明</w:t>
            </w:r>
          </w:p>
        </w:tc>
      </w:tr>
    </w:tbl>
    <w:p>
      <w:pPr>
        <w:autoSpaceDE/>
        <w:autoSpaceDN/>
        <w:adjustRightInd/>
        <w:spacing w:line="220" w:lineRule="exact"/>
        <w:rPr>
          <w:rFonts w:hint="eastAsia" w:ascii="仿宋_GB2312" w:eastAsia="仿宋_GB2312"/>
          <w:sz w:val="32"/>
          <w:szCs w:val="24"/>
        </w:rPr>
      </w:pPr>
    </w:p>
    <w:tbl>
      <w:tblPr>
        <w:tblStyle w:val="11"/>
        <w:tblW w:w="9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1"/>
        <w:gridCol w:w="1267"/>
        <w:gridCol w:w="830"/>
        <w:gridCol w:w="1309"/>
        <w:gridCol w:w="652"/>
        <w:gridCol w:w="531"/>
        <w:gridCol w:w="188"/>
        <w:gridCol w:w="751"/>
        <w:gridCol w:w="777"/>
        <w:gridCol w:w="473"/>
        <w:gridCol w:w="569"/>
        <w:gridCol w:w="1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325" w:type="dxa"/>
            <w:gridSpan w:val="12"/>
            <w:tcBorders>
              <w:top w:val="nil"/>
              <w:left w:val="nil"/>
              <w:bottom w:val="nil"/>
              <w:right w:val="nil"/>
              <w:tl2br w:val="nil"/>
              <w:tr2bl w:val="nil"/>
            </w:tcBorders>
            <w:noWrap w:val="0"/>
            <w:vAlign w:val="center"/>
          </w:tcPr>
          <w:p>
            <w:pPr>
              <w:widowControl/>
              <w:jc w:val="center"/>
              <w:textAlignment w:val="center"/>
              <w:rPr>
                <w:rFonts w:hint="default" w:ascii="黑体" w:hAnsi="宋体" w:eastAsia="黑体"/>
                <w:b/>
                <w:color w:val="000000"/>
                <w:sz w:val="30"/>
                <w:szCs w:val="24"/>
              </w:rPr>
            </w:pPr>
            <w:r>
              <w:rPr>
                <w:rFonts w:hint="default" w:ascii="黑体" w:hAnsi="宋体" w:eastAsia="黑体"/>
                <w:b/>
                <w:color w:val="000000"/>
                <w:sz w:val="30"/>
                <w:szCs w:val="24"/>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项目名称</w:t>
            </w:r>
          </w:p>
        </w:tc>
        <w:tc>
          <w:tcPr>
            <w:tcW w:w="7427"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51180022T000000438126-党风廉政建设和反腐败工作宣传经费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898" w:type="dxa"/>
            <w:gridSpan w:val="2"/>
            <w:tcBorders>
              <w:top w:val="nil"/>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主管部门</w:t>
            </w:r>
          </w:p>
        </w:tc>
        <w:tc>
          <w:tcPr>
            <w:tcW w:w="4261" w:type="dxa"/>
            <w:gridSpan w:val="6"/>
            <w:tcBorders>
              <w:top w:val="nil"/>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中国共产党雅安市纪律检查委员会</w:t>
            </w:r>
          </w:p>
        </w:tc>
        <w:tc>
          <w:tcPr>
            <w:tcW w:w="777" w:type="dxa"/>
            <w:tcBorders>
              <w:top w:val="nil"/>
              <w:left w:val="nil"/>
              <w:bottom w:val="nil"/>
              <w:right w:val="nil"/>
              <w:tl2br w:val="nil"/>
              <w:tr2bl w:val="nil"/>
            </w:tcBorders>
            <w:noWrap w:val="0"/>
            <w:vAlign w:val="center"/>
          </w:tcPr>
          <w:p>
            <w:pPr>
              <w:widowControl/>
              <w:autoSpaceDE/>
              <w:autoSpaceDN/>
              <w:adjustRightInd/>
              <w:spacing w:line="240" w:lineRule="exact"/>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实施单位 （盖章）</w:t>
            </w:r>
          </w:p>
        </w:tc>
        <w:tc>
          <w:tcPr>
            <w:tcW w:w="2389" w:type="dxa"/>
            <w:gridSpan w:val="3"/>
            <w:tcBorders>
              <w:top w:val="nil"/>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中国共产党雅安市纪律检查委员会机关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项目基本情况</w:t>
            </w:r>
          </w:p>
        </w:tc>
        <w:tc>
          <w:tcPr>
            <w:tcW w:w="126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1.项目年度目标完成情况</w:t>
            </w:r>
          </w:p>
        </w:tc>
        <w:tc>
          <w:tcPr>
            <w:tcW w:w="426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项目年度目标</w:t>
            </w:r>
          </w:p>
        </w:tc>
        <w:tc>
          <w:tcPr>
            <w:tcW w:w="316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3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rPr>
                <w:rFonts w:hint="eastAsia" w:ascii="仿宋_GB2312" w:hAnsi="仿宋_GB2312" w:eastAsia="仿宋_GB2312"/>
                <w:color w:val="000000"/>
                <w:sz w:val="15"/>
                <w:szCs w:val="24"/>
              </w:rPr>
            </w:pPr>
          </w:p>
        </w:tc>
        <w:tc>
          <w:tcPr>
            <w:tcW w:w="126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rPr>
                <w:rFonts w:hint="eastAsia" w:ascii="仿宋_GB2312" w:hAnsi="仿宋_GB2312" w:eastAsia="仿宋_GB2312"/>
                <w:color w:val="000000"/>
                <w:sz w:val="15"/>
                <w:szCs w:val="24"/>
              </w:rPr>
            </w:pPr>
          </w:p>
        </w:tc>
        <w:tc>
          <w:tcPr>
            <w:tcW w:w="426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深入践行宣传思想工作“举旗帜、聚民心、育新人、兴文化、展形象”的使命任务，坚持“稳中求进、守正创新”总基调，牢牢把握正确舆论导向，用心用情讲好雅安廉洁故事，为深入推进全面从严治党提供思想保证、精神动力和舆论支持。真刀真枪推动问题整改，切实以评作风、改作风的实际成效赢得民心。</w:t>
            </w:r>
          </w:p>
        </w:tc>
        <w:tc>
          <w:tcPr>
            <w:tcW w:w="316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制作《阳光问廉》4期；开通运营“清风雅语”抖音号，先后发布113个短视频，点击量达660余万次；“清风雅语”微信公众号和“廉洁雅安”网站推送信息780余（条）篇。拍摄制作警示教育片和警示教育读本。深入开展正面教育，激发干事创业热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rPr>
                <w:rFonts w:hint="eastAsia" w:ascii="仿宋_GB2312" w:hAnsi="仿宋_GB2312" w:eastAsia="仿宋_GB2312"/>
                <w:color w:val="000000"/>
                <w:sz w:val="15"/>
                <w:szCs w:val="24"/>
              </w:rPr>
            </w:pPr>
          </w:p>
        </w:tc>
        <w:tc>
          <w:tcPr>
            <w:tcW w:w="12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2.项目实施内容及过程概述</w:t>
            </w:r>
          </w:p>
        </w:tc>
        <w:tc>
          <w:tcPr>
            <w:tcW w:w="7427"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rPr>
                <w:rFonts w:hint="eastAsia" w:ascii="仿宋_GB2312" w:hAnsi="仿宋_GB2312" w:eastAsia="仿宋_GB2312"/>
                <w:color w:val="000000"/>
                <w:sz w:val="15"/>
                <w:szCs w:val="24"/>
              </w:rPr>
            </w:pPr>
            <w:r>
              <w:rPr>
                <w:rFonts w:hint="eastAsia" w:ascii="仿宋_GB2312" w:hAnsi="仿宋_GB2312" w:eastAsia="仿宋_GB2312"/>
                <w:sz w:val="15"/>
                <w:szCs w:val="24"/>
                <w:lang w:val="zh-CN"/>
              </w:rPr>
              <w:t>年初由市纪委监委宣传部、党风政风监督室制定年度计划，留置管理中心统一编制年度预算、汇总年终决算。执行过程中严格按《中共雅安市纪委机关雅安市监察委员会政府采购业务管理制度》和《委机关财务管理制度（试行）》等制度支出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预算执行情况（10分）</w:t>
            </w:r>
          </w:p>
        </w:tc>
        <w:tc>
          <w:tcPr>
            <w:tcW w:w="12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3"/>
                <w:szCs w:val="24"/>
              </w:rPr>
            </w:pPr>
            <w:r>
              <w:rPr>
                <w:rFonts w:hint="eastAsia" w:ascii="仿宋_GB2312" w:hAnsi="仿宋_GB2312" w:eastAsia="仿宋_GB2312"/>
                <w:color w:val="000000"/>
                <w:sz w:val="13"/>
                <w:szCs w:val="24"/>
              </w:rPr>
              <w:t>年度预算数（万元）</w:t>
            </w:r>
          </w:p>
        </w:tc>
        <w:tc>
          <w:tcPr>
            <w:tcW w:w="8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年初预算</w:t>
            </w:r>
          </w:p>
        </w:tc>
        <w:tc>
          <w:tcPr>
            <w:tcW w:w="13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调整后预算数</w:t>
            </w:r>
          </w:p>
        </w:tc>
        <w:tc>
          <w:tcPr>
            <w:tcW w:w="212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预算执行数</w:t>
            </w:r>
          </w:p>
        </w:tc>
        <w:tc>
          <w:tcPr>
            <w:tcW w:w="7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预算执行率</w:t>
            </w:r>
          </w:p>
        </w:tc>
        <w:tc>
          <w:tcPr>
            <w:tcW w:w="4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权重</w:t>
            </w:r>
          </w:p>
        </w:tc>
        <w:tc>
          <w:tcPr>
            <w:tcW w:w="5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得分</w:t>
            </w:r>
          </w:p>
        </w:tc>
        <w:tc>
          <w:tcPr>
            <w:tcW w:w="13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63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color w:val="000000"/>
                <w:sz w:val="15"/>
                <w:szCs w:val="24"/>
              </w:rPr>
            </w:pPr>
          </w:p>
        </w:tc>
        <w:tc>
          <w:tcPr>
            <w:tcW w:w="12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3"/>
                <w:szCs w:val="24"/>
              </w:rPr>
            </w:pPr>
            <w:r>
              <w:rPr>
                <w:rFonts w:hint="eastAsia" w:ascii="仿宋_GB2312" w:hAnsi="仿宋_GB2312" w:eastAsia="仿宋_GB2312"/>
                <w:color w:val="000000"/>
                <w:sz w:val="13"/>
                <w:szCs w:val="24"/>
              </w:rPr>
              <w:t>总额</w:t>
            </w:r>
          </w:p>
        </w:tc>
        <w:tc>
          <w:tcPr>
            <w:tcW w:w="8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350.00</w:t>
            </w:r>
          </w:p>
        </w:tc>
        <w:tc>
          <w:tcPr>
            <w:tcW w:w="13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216.21</w:t>
            </w:r>
          </w:p>
        </w:tc>
        <w:tc>
          <w:tcPr>
            <w:tcW w:w="212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216.21</w:t>
            </w:r>
          </w:p>
        </w:tc>
        <w:tc>
          <w:tcPr>
            <w:tcW w:w="7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100.00%</w:t>
            </w:r>
          </w:p>
        </w:tc>
        <w:tc>
          <w:tcPr>
            <w:tcW w:w="4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10</w:t>
            </w:r>
          </w:p>
        </w:tc>
        <w:tc>
          <w:tcPr>
            <w:tcW w:w="5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10</w:t>
            </w:r>
          </w:p>
        </w:tc>
        <w:tc>
          <w:tcPr>
            <w:tcW w:w="134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textAlignment w:val="center"/>
              <w:rPr>
                <w:rFonts w:hint="eastAsia" w:ascii="仿宋_GB2312" w:hAnsi="仿宋_GB2312" w:eastAsia="仿宋_GB2312"/>
                <w:i/>
                <w:color w:val="000000"/>
                <w:sz w:val="15"/>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3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color w:val="000000"/>
                <w:sz w:val="15"/>
                <w:szCs w:val="24"/>
              </w:rPr>
            </w:pPr>
          </w:p>
        </w:tc>
        <w:tc>
          <w:tcPr>
            <w:tcW w:w="12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其中：财政资金</w:t>
            </w:r>
          </w:p>
        </w:tc>
        <w:tc>
          <w:tcPr>
            <w:tcW w:w="8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350.00</w:t>
            </w:r>
          </w:p>
        </w:tc>
        <w:tc>
          <w:tcPr>
            <w:tcW w:w="13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216.21</w:t>
            </w:r>
          </w:p>
        </w:tc>
        <w:tc>
          <w:tcPr>
            <w:tcW w:w="212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216.21</w:t>
            </w:r>
          </w:p>
        </w:tc>
        <w:tc>
          <w:tcPr>
            <w:tcW w:w="7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100.00%</w:t>
            </w:r>
          </w:p>
        </w:tc>
        <w:tc>
          <w:tcPr>
            <w:tcW w:w="4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w:t>
            </w:r>
          </w:p>
        </w:tc>
        <w:tc>
          <w:tcPr>
            <w:tcW w:w="5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w:t>
            </w:r>
          </w:p>
        </w:tc>
        <w:tc>
          <w:tcPr>
            <w:tcW w:w="134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rPr>
                <w:rFonts w:hint="eastAsia" w:ascii="仿宋_GB2312" w:hAnsi="仿宋_GB2312" w:eastAsia="仿宋_GB2312"/>
                <w:i/>
                <w:color w:val="000000"/>
                <w:sz w:val="15"/>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63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color w:val="000000"/>
                <w:sz w:val="15"/>
                <w:szCs w:val="24"/>
              </w:rPr>
            </w:pPr>
          </w:p>
        </w:tc>
        <w:tc>
          <w:tcPr>
            <w:tcW w:w="12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3"/>
                <w:szCs w:val="24"/>
              </w:rPr>
              <w:t>财政专户管理资金</w:t>
            </w:r>
          </w:p>
        </w:tc>
        <w:tc>
          <w:tcPr>
            <w:tcW w:w="8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0.00</w:t>
            </w:r>
          </w:p>
        </w:tc>
        <w:tc>
          <w:tcPr>
            <w:tcW w:w="13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0.00</w:t>
            </w:r>
          </w:p>
        </w:tc>
        <w:tc>
          <w:tcPr>
            <w:tcW w:w="212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0.00</w:t>
            </w:r>
          </w:p>
        </w:tc>
        <w:tc>
          <w:tcPr>
            <w:tcW w:w="7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0.00%</w:t>
            </w:r>
          </w:p>
        </w:tc>
        <w:tc>
          <w:tcPr>
            <w:tcW w:w="4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w:t>
            </w:r>
          </w:p>
        </w:tc>
        <w:tc>
          <w:tcPr>
            <w:tcW w:w="5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w:t>
            </w:r>
          </w:p>
        </w:tc>
        <w:tc>
          <w:tcPr>
            <w:tcW w:w="134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rPr>
                <w:rFonts w:hint="eastAsia" w:ascii="仿宋_GB2312" w:hAnsi="仿宋_GB2312" w:eastAsia="仿宋_GB2312"/>
                <w:i/>
                <w:color w:val="000000"/>
                <w:sz w:val="15"/>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63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color w:val="000000"/>
                <w:sz w:val="15"/>
                <w:szCs w:val="24"/>
              </w:rPr>
            </w:pPr>
          </w:p>
        </w:tc>
        <w:tc>
          <w:tcPr>
            <w:tcW w:w="12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单位资金</w:t>
            </w:r>
          </w:p>
        </w:tc>
        <w:tc>
          <w:tcPr>
            <w:tcW w:w="8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0.00</w:t>
            </w:r>
          </w:p>
        </w:tc>
        <w:tc>
          <w:tcPr>
            <w:tcW w:w="13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0.00</w:t>
            </w:r>
          </w:p>
        </w:tc>
        <w:tc>
          <w:tcPr>
            <w:tcW w:w="212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0.00</w:t>
            </w:r>
          </w:p>
        </w:tc>
        <w:tc>
          <w:tcPr>
            <w:tcW w:w="7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0.00%</w:t>
            </w:r>
          </w:p>
        </w:tc>
        <w:tc>
          <w:tcPr>
            <w:tcW w:w="4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w:t>
            </w:r>
          </w:p>
        </w:tc>
        <w:tc>
          <w:tcPr>
            <w:tcW w:w="5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w:t>
            </w:r>
          </w:p>
        </w:tc>
        <w:tc>
          <w:tcPr>
            <w:tcW w:w="134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rPr>
                <w:rFonts w:hint="eastAsia" w:ascii="仿宋_GB2312" w:hAnsi="仿宋_GB2312" w:eastAsia="仿宋_GB2312"/>
                <w:i/>
                <w:color w:val="000000"/>
                <w:sz w:val="15"/>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 w:hRule="atLeast"/>
        </w:trPr>
        <w:tc>
          <w:tcPr>
            <w:tcW w:w="63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color w:val="000000"/>
                <w:sz w:val="15"/>
                <w:szCs w:val="24"/>
              </w:rPr>
            </w:pPr>
          </w:p>
        </w:tc>
        <w:tc>
          <w:tcPr>
            <w:tcW w:w="12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其他资金</w:t>
            </w:r>
          </w:p>
        </w:tc>
        <w:tc>
          <w:tcPr>
            <w:tcW w:w="8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i/>
                <w:color w:val="000000"/>
                <w:sz w:val="15"/>
                <w:szCs w:val="24"/>
              </w:rPr>
            </w:pPr>
          </w:p>
        </w:tc>
        <w:tc>
          <w:tcPr>
            <w:tcW w:w="13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i/>
                <w:color w:val="000000"/>
                <w:sz w:val="15"/>
                <w:szCs w:val="24"/>
              </w:rPr>
            </w:pPr>
          </w:p>
        </w:tc>
        <w:tc>
          <w:tcPr>
            <w:tcW w:w="212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i/>
                <w:color w:val="000000"/>
                <w:sz w:val="15"/>
                <w:szCs w:val="24"/>
              </w:rPr>
            </w:pPr>
          </w:p>
        </w:tc>
        <w:tc>
          <w:tcPr>
            <w:tcW w:w="7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i/>
                <w:color w:val="000000"/>
                <w:sz w:val="15"/>
                <w:szCs w:val="24"/>
              </w:rPr>
            </w:pPr>
          </w:p>
        </w:tc>
        <w:tc>
          <w:tcPr>
            <w:tcW w:w="4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w:t>
            </w:r>
          </w:p>
        </w:tc>
        <w:tc>
          <w:tcPr>
            <w:tcW w:w="5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w:t>
            </w:r>
          </w:p>
        </w:tc>
        <w:tc>
          <w:tcPr>
            <w:tcW w:w="134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rPr>
                <w:rFonts w:hint="eastAsia" w:ascii="仿宋_GB2312" w:hAnsi="仿宋_GB2312" w:eastAsia="仿宋_GB2312"/>
                <w:i/>
                <w:color w:val="000000"/>
                <w:sz w:val="15"/>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绩效指标（90分）</w:t>
            </w:r>
          </w:p>
        </w:tc>
        <w:tc>
          <w:tcPr>
            <w:tcW w:w="12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一级指标</w:t>
            </w:r>
          </w:p>
        </w:tc>
        <w:tc>
          <w:tcPr>
            <w:tcW w:w="8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二级指标</w:t>
            </w:r>
          </w:p>
        </w:tc>
        <w:tc>
          <w:tcPr>
            <w:tcW w:w="13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三级指标</w:t>
            </w:r>
          </w:p>
        </w:tc>
        <w:tc>
          <w:tcPr>
            <w:tcW w:w="6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指标性质</w:t>
            </w:r>
          </w:p>
        </w:tc>
        <w:tc>
          <w:tcPr>
            <w:tcW w:w="7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指标值</w:t>
            </w:r>
          </w:p>
        </w:tc>
        <w:tc>
          <w:tcPr>
            <w:tcW w:w="7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度量单位</w:t>
            </w:r>
          </w:p>
        </w:tc>
        <w:tc>
          <w:tcPr>
            <w:tcW w:w="7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完成值</w:t>
            </w:r>
          </w:p>
        </w:tc>
        <w:tc>
          <w:tcPr>
            <w:tcW w:w="4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权重</w:t>
            </w:r>
          </w:p>
        </w:tc>
        <w:tc>
          <w:tcPr>
            <w:tcW w:w="5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得分</w:t>
            </w:r>
          </w:p>
        </w:tc>
        <w:tc>
          <w:tcPr>
            <w:tcW w:w="13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3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color w:val="000000"/>
                <w:sz w:val="15"/>
                <w:szCs w:val="24"/>
              </w:rPr>
            </w:pPr>
          </w:p>
        </w:tc>
        <w:tc>
          <w:tcPr>
            <w:tcW w:w="126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产出指标</w:t>
            </w:r>
          </w:p>
        </w:tc>
        <w:tc>
          <w:tcPr>
            <w:tcW w:w="8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数量指标</w:t>
            </w:r>
          </w:p>
        </w:tc>
        <w:tc>
          <w:tcPr>
            <w:tcW w:w="13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制作《阳光问廉》</w:t>
            </w:r>
          </w:p>
        </w:tc>
        <w:tc>
          <w:tcPr>
            <w:tcW w:w="6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w:t>
            </w:r>
          </w:p>
        </w:tc>
        <w:tc>
          <w:tcPr>
            <w:tcW w:w="7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4</w:t>
            </w:r>
          </w:p>
        </w:tc>
        <w:tc>
          <w:tcPr>
            <w:tcW w:w="7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期</w:t>
            </w:r>
          </w:p>
        </w:tc>
        <w:tc>
          <w:tcPr>
            <w:tcW w:w="7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4</w:t>
            </w:r>
          </w:p>
        </w:tc>
        <w:tc>
          <w:tcPr>
            <w:tcW w:w="4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20</w:t>
            </w:r>
          </w:p>
        </w:tc>
        <w:tc>
          <w:tcPr>
            <w:tcW w:w="5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20</w:t>
            </w:r>
          </w:p>
        </w:tc>
        <w:tc>
          <w:tcPr>
            <w:tcW w:w="13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i/>
                <w:color w:val="000000"/>
                <w:sz w:val="15"/>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color w:val="000000"/>
                <w:sz w:val="15"/>
                <w:szCs w:val="24"/>
              </w:rPr>
            </w:pPr>
          </w:p>
        </w:tc>
        <w:tc>
          <w:tcPr>
            <w:tcW w:w="126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color w:val="000000"/>
                <w:sz w:val="15"/>
                <w:szCs w:val="24"/>
              </w:rPr>
            </w:pPr>
          </w:p>
        </w:tc>
        <w:tc>
          <w:tcPr>
            <w:tcW w:w="8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color w:val="000000"/>
                <w:sz w:val="15"/>
                <w:szCs w:val="24"/>
              </w:rPr>
            </w:pPr>
          </w:p>
        </w:tc>
        <w:tc>
          <w:tcPr>
            <w:tcW w:w="13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3"/>
                <w:szCs w:val="24"/>
              </w:rPr>
              <w:t>微信公众号“清风雅语”推送信息</w:t>
            </w:r>
          </w:p>
        </w:tc>
        <w:tc>
          <w:tcPr>
            <w:tcW w:w="6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w:t>
            </w:r>
          </w:p>
        </w:tc>
        <w:tc>
          <w:tcPr>
            <w:tcW w:w="7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200</w:t>
            </w:r>
          </w:p>
        </w:tc>
        <w:tc>
          <w:tcPr>
            <w:tcW w:w="7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条</w:t>
            </w:r>
          </w:p>
        </w:tc>
        <w:tc>
          <w:tcPr>
            <w:tcW w:w="7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400</w:t>
            </w:r>
          </w:p>
        </w:tc>
        <w:tc>
          <w:tcPr>
            <w:tcW w:w="4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10</w:t>
            </w:r>
          </w:p>
        </w:tc>
        <w:tc>
          <w:tcPr>
            <w:tcW w:w="5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10</w:t>
            </w:r>
          </w:p>
        </w:tc>
        <w:tc>
          <w:tcPr>
            <w:tcW w:w="13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i/>
                <w:color w:val="000000"/>
                <w:sz w:val="15"/>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3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color w:val="000000"/>
                <w:sz w:val="15"/>
                <w:szCs w:val="24"/>
              </w:rPr>
            </w:pPr>
          </w:p>
        </w:tc>
        <w:tc>
          <w:tcPr>
            <w:tcW w:w="126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color w:val="000000"/>
                <w:sz w:val="15"/>
                <w:szCs w:val="24"/>
              </w:rPr>
            </w:pPr>
          </w:p>
        </w:tc>
        <w:tc>
          <w:tcPr>
            <w:tcW w:w="8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color w:val="000000"/>
                <w:sz w:val="15"/>
                <w:szCs w:val="24"/>
              </w:rPr>
            </w:pPr>
          </w:p>
        </w:tc>
        <w:tc>
          <w:tcPr>
            <w:tcW w:w="13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网站推送信息</w:t>
            </w:r>
          </w:p>
        </w:tc>
        <w:tc>
          <w:tcPr>
            <w:tcW w:w="6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w:t>
            </w:r>
          </w:p>
        </w:tc>
        <w:tc>
          <w:tcPr>
            <w:tcW w:w="7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100</w:t>
            </w:r>
          </w:p>
        </w:tc>
        <w:tc>
          <w:tcPr>
            <w:tcW w:w="7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条</w:t>
            </w:r>
          </w:p>
        </w:tc>
        <w:tc>
          <w:tcPr>
            <w:tcW w:w="7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380</w:t>
            </w:r>
          </w:p>
        </w:tc>
        <w:tc>
          <w:tcPr>
            <w:tcW w:w="4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10</w:t>
            </w:r>
          </w:p>
        </w:tc>
        <w:tc>
          <w:tcPr>
            <w:tcW w:w="5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10</w:t>
            </w:r>
          </w:p>
        </w:tc>
        <w:tc>
          <w:tcPr>
            <w:tcW w:w="13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i/>
                <w:color w:val="000000"/>
                <w:sz w:val="15"/>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3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color w:val="000000"/>
                <w:sz w:val="15"/>
                <w:szCs w:val="24"/>
              </w:rPr>
            </w:pPr>
          </w:p>
        </w:tc>
        <w:tc>
          <w:tcPr>
            <w:tcW w:w="126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color w:val="000000"/>
                <w:sz w:val="15"/>
                <w:szCs w:val="24"/>
              </w:rPr>
            </w:pPr>
          </w:p>
        </w:tc>
        <w:tc>
          <w:tcPr>
            <w:tcW w:w="8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质量指标</w:t>
            </w:r>
          </w:p>
        </w:tc>
        <w:tc>
          <w:tcPr>
            <w:tcW w:w="13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公职人员遵规守纪度</w:t>
            </w:r>
          </w:p>
        </w:tc>
        <w:tc>
          <w:tcPr>
            <w:tcW w:w="6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定性</w:t>
            </w:r>
          </w:p>
        </w:tc>
        <w:tc>
          <w:tcPr>
            <w:tcW w:w="7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高中低</w:t>
            </w:r>
          </w:p>
        </w:tc>
        <w:tc>
          <w:tcPr>
            <w:tcW w:w="7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color w:val="000000"/>
                <w:sz w:val="15"/>
                <w:szCs w:val="24"/>
              </w:rPr>
            </w:pPr>
          </w:p>
        </w:tc>
        <w:tc>
          <w:tcPr>
            <w:tcW w:w="7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高</w:t>
            </w:r>
          </w:p>
        </w:tc>
        <w:tc>
          <w:tcPr>
            <w:tcW w:w="4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10</w:t>
            </w:r>
          </w:p>
        </w:tc>
        <w:tc>
          <w:tcPr>
            <w:tcW w:w="5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10</w:t>
            </w:r>
          </w:p>
        </w:tc>
        <w:tc>
          <w:tcPr>
            <w:tcW w:w="13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i/>
                <w:color w:val="000000"/>
                <w:sz w:val="15"/>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3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color w:val="000000"/>
                <w:sz w:val="15"/>
                <w:szCs w:val="24"/>
              </w:rPr>
            </w:pPr>
          </w:p>
        </w:tc>
        <w:tc>
          <w:tcPr>
            <w:tcW w:w="126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color w:val="000000"/>
                <w:sz w:val="15"/>
                <w:szCs w:val="24"/>
              </w:rPr>
            </w:pPr>
          </w:p>
        </w:tc>
        <w:tc>
          <w:tcPr>
            <w:tcW w:w="8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color w:val="000000"/>
                <w:sz w:val="15"/>
                <w:szCs w:val="24"/>
              </w:rPr>
            </w:pPr>
          </w:p>
        </w:tc>
        <w:tc>
          <w:tcPr>
            <w:tcW w:w="13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《阳光问廉》作品合格率</w:t>
            </w:r>
          </w:p>
        </w:tc>
        <w:tc>
          <w:tcPr>
            <w:tcW w:w="6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w:t>
            </w:r>
          </w:p>
        </w:tc>
        <w:tc>
          <w:tcPr>
            <w:tcW w:w="7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90</w:t>
            </w:r>
          </w:p>
        </w:tc>
        <w:tc>
          <w:tcPr>
            <w:tcW w:w="7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w:t>
            </w:r>
          </w:p>
        </w:tc>
        <w:tc>
          <w:tcPr>
            <w:tcW w:w="7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100</w:t>
            </w:r>
          </w:p>
        </w:tc>
        <w:tc>
          <w:tcPr>
            <w:tcW w:w="4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10</w:t>
            </w:r>
          </w:p>
        </w:tc>
        <w:tc>
          <w:tcPr>
            <w:tcW w:w="5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10</w:t>
            </w:r>
          </w:p>
        </w:tc>
        <w:tc>
          <w:tcPr>
            <w:tcW w:w="13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i/>
                <w:color w:val="000000"/>
                <w:sz w:val="15"/>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3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color w:val="000000"/>
                <w:sz w:val="15"/>
                <w:szCs w:val="24"/>
              </w:rPr>
            </w:pPr>
          </w:p>
        </w:tc>
        <w:tc>
          <w:tcPr>
            <w:tcW w:w="126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效益指标</w:t>
            </w:r>
          </w:p>
        </w:tc>
        <w:tc>
          <w:tcPr>
            <w:tcW w:w="8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社会效益指标</w:t>
            </w:r>
          </w:p>
        </w:tc>
        <w:tc>
          <w:tcPr>
            <w:tcW w:w="13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群众关注度</w:t>
            </w:r>
          </w:p>
        </w:tc>
        <w:tc>
          <w:tcPr>
            <w:tcW w:w="6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定性</w:t>
            </w:r>
          </w:p>
        </w:tc>
        <w:tc>
          <w:tcPr>
            <w:tcW w:w="7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高中低</w:t>
            </w:r>
          </w:p>
        </w:tc>
        <w:tc>
          <w:tcPr>
            <w:tcW w:w="7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color w:val="000000"/>
                <w:sz w:val="15"/>
                <w:szCs w:val="24"/>
              </w:rPr>
            </w:pPr>
          </w:p>
        </w:tc>
        <w:tc>
          <w:tcPr>
            <w:tcW w:w="7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15</w:t>
            </w:r>
          </w:p>
        </w:tc>
        <w:tc>
          <w:tcPr>
            <w:tcW w:w="4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10</w:t>
            </w:r>
          </w:p>
        </w:tc>
        <w:tc>
          <w:tcPr>
            <w:tcW w:w="5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10</w:t>
            </w:r>
          </w:p>
        </w:tc>
        <w:tc>
          <w:tcPr>
            <w:tcW w:w="13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i/>
                <w:color w:val="000000"/>
                <w:sz w:val="15"/>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3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color w:val="000000"/>
                <w:sz w:val="15"/>
                <w:szCs w:val="24"/>
              </w:rPr>
            </w:pPr>
          </w:p>
        </w:tc>
        <w:tc>
          <w:tcPr>
            <w:tcW w:w="126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color w:val="000000"/>
                <w:sz w:val="15"/>
                <w:szCs w:val="24"/>
              </w:rPr>
            </w:pPr>
          </w:p>
        </w:tc>
        <w:tc>
          <w:tcPr>
            <w:tcW w:w="8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color w:val="000000"/>
                <w:sz w:val="15"/>
                <w:szCs w:val="24"/>
              </w:rPr>
            </w:pPr>
          </w:p>
        </w:tc>
        <w:tc>
          <w:tcPr>
            <w:tcW w:w="13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网站点击增长率</w:t>
            </w:r>
          </w:p>
        </w:tc>
        <w:tc>
          <w:tcPr>
            <w:tcW w:w="6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w:t>
            </w:r>
          </w:p>
        </w:tc>
        <w:tc>
          <w:tcPr>
            <w:tcW w:w="7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10</w:t>
            </w:r>
          </w:p>
        </w:tc>
        <w:tc>
          <w:tcPr>
            <w:tcW w:w="7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w:t>
            </w:r>
          </w:p>
        </w:tc>
        <w:tc>
          <w:tcPr>
            <w:tcW w:w="7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高</w:t>
            </w:r>
          </w:p>
        </w:tc>
        <w:tc>
          <w:tcPr>
            <w:tcW w:w="4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10</w:t>
            </w:r>
          </w:p>
        </w:tc>
        <w:tc>
          <w:tcPr>
            <w:tcW w:w="5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10</w:t>
            </w:r>
          </w:p>
        </w:tc>
        <w:tc>
          <w:tcPr>
            <w:tcW w:w="13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i/>
                <w:color w:val="000000"/>
                <w:sz w:val="15"/>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color w:val="000000"/>
                <w:sz w:val="15"/>
                <w:szCs w:val="24"/>
              </w:rPr>
            </w:pPr>
          </w:p>
        </w:tc>
        <w:tc>
          <w:tcPr>
            <w:tcW w:w="12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满意度指标</w:t>
            </w:r>
          </w:p>
        </w:tc>
        <w:tc>
          <w:tcPr>
            <w:tcW w:w="8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服务对象满意度指标</w:t>
            </w:r>
          </w:p>
        </w:tc>
        <w:tc>
          <w:tcPr>
            <w:tcW w:w="13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群众满意度</w:t>
            </w:r>
          </w:p>
        </w:tc>
        <w:tc>
          <w:tcPr>
            <w:tcW w:w="6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w:t>
            </w:r>
          </w:p>
        </w:tc>
        <w:tc>
          <w:tcPr>
            <w:tcW w:w="7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80</w:t>
            </w:r>
          </w:p>
        </w:tc>
        <w:tc>
          <w:tcPr>
            <w:tcW w:w="7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w:t>
            </w:r>
          </w:p>
        </w:tc>
        <w:tc>
          <w:tcPr>
            <w:tcW w:w="7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95</w:t>
            </w:r>
          </w:p>
        </w:tc>
        <w:tc>
          <w:tcPr>
            <w:tcW w:w="4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10</w:t>
            </w:r>
          </w:p>
        </w:tc>
        <w:tc>
          <w:tcPr>
            <w:tcW w:w="5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10</w:t>
            </w:r>
          </w:p>
        </w:tc>
        <w:tc>
          <w:tcPr>
            <w:tcW w:w="13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jc w:val="center"/>
              <w:rPr>
                <w:rFonts w:hint="eastAsia" w:ascii="仿宋_GB2312" w:hAnsi="仿宋_GB2312" w:eastAsia="仿宋_GB2312"/>
                <w:i/>
                <w:color w:val="000000"/>
                <w:sz w:val="15"/>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693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合计</w:t>
            </w:r>
          </w:p>
        </w:tc>
        <w:tc>
          <w:tcPr>
            <w:tcW w:w="4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100</w:t>
            </w:r>
          </w:p>
        </w:tc>
        <w:tc>
          <w:tcPr>
            <w:tcW w:w="5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100</w:t>
            </w:r>
          </w:p>
        </w:tc>
        <w:tc>
          <w:tcPr>
            <w:tcW w:w="13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utoSpaceDE/>
              <w:autoSpaceDN/>
              <w:adjustRightInd/>
              <w:spacing w:line="240" w:lineRule="exact"/>
              <w:rPr>
                <w:rFonts w:hint="eastAsia" w:ascii="仿宋_GB2312" w:hAnsi="仿宋_GB2312" w:eastAsia="仿宋_GB2312"/>
                <w:color w:val="000000"/>
                <w:sz w:val="15"/>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评价结论</w:t>
            </w:r>
          </w:p>
        </w:tc>
        <w:tc>
          <w:tcPr>
            <w:tcW w:w="869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总体来看，党风廉政建设和反腐败工作宣传经费决策程序较严密，规划较合理；资金分配较及时、项目管理较规范；有效提高了党风廉政建设和反腐败工作宣传质效，为全面从严治党向纵深发展提供了思想保证、精神动力和舆论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存在问题</w:t>
            </w:r>
          </w:p>
        </w:tc>
        <w:tc>
          <w:tcPr>
            <w:tcW w:w="869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通过开展绩效自评，在绩效目标编制上需进一步规范，绩效结果运用需进一步的加强。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jc w:val="center"/>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改进措施</w:t>
            </w:r>
          </w:p>
        </w:tc>
        <w:tc>
          <w:tcPr>
            <w:tcW w:w="869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textAlignment w:val="center"/>
              <w:rPr>
                <w:rFonts w:hint="eastAsia" w:ascii="仿宋_GB2312" w:hAnsi="仿宋_GB2312" w:eastAsia="仿宋_GB2312"/>
                <w:i/>
                <w:color w:val="000000"/>
                <w:sz w:val="15"/>
                <w:szCs w:val="24"/>
              </w:rPr>
            </w:pPr>
            <w:r>
              <w:rPr>
                <w:rFonts w:hint="eastAsia" w:ascii="仿宋_GB2312" w:hAnsi="仿宋_GB2312" w:eastAsia="仿宋_GB2312"/>
                <w:color w:val="000000"/>
                <w:sz w:val="15"/>
                <w:szCs w:val="24"/>
              </w:rPr>
              <w:t>市纪委监委机关将严格按照相关要求，落实绩效管理主体责任，督促市纪委监委宣传部扎实开展项目前期调研，收集项目相关数据，突出绩效目标细化量化工作，科学合理编制绩效目标。强化绩效结果应用，提高绩效管理成效</w:t>
            </w:r>
            <w:r>
              <w:rPr>
                <w:rFonts w:hint="eastAsia" w:ascii="仿宋_GB2312" w:hAnsi="仿宋_GB2312" w:eastAsia="仿宋_GB2312"/>
                <w:i/>
                <w:color w:val="000000"/>
                <w:sz w:val="15"/>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2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项目负责人：唐安萍</w:t>
            </w:r>
          </w:p>
        </w:tc>
        <w:tc>
          <w:tcPr>
            <w:tcW w:w="410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autoSpaceDE/>
              <w:autoSpaceDN/>
              <w:adjustRightInd/>
              <w:spacing w:line="240" w:lineRule="exact"/>
              <w:textAlignment w:val="center"/>
              <w:rPr>
                <w:rFonts w:hint="eastAsia" w:ascii="仿宋_GB2312" w:hAnsi="仿宋_GB2312" w:eastAsia="仿宋_GB2312"/>
                <w:color w:val="000000"/>
                <w:sz w:val="15"/>
                <w:szCs w:val="24"/>
              </w:rPr>
            </w:pPr>
            <w:r>
              <w:rPr>
                <w:rFonts w:hint="eastAsia" w:ascii="仿宋_GB2312" w:hAnsi="仿宋_GB2312" w:eastAsia="仿宋_GB2312"/>
                <w:color w:val="000000"/>
                <w:sz w:val="15"/>
                <w:szCs w:val="24"/>
              </w:rPr>
              <w:t>财务负责人：赵明</w:t>
            </w:r>
          </w:p>
        </w:tc>
      </w:tr>
    </w:tbl>
    <w:p>
      <w:pPr>
        <w:keepNext/>
        <w:keepLines/>
        <w:spacing w:line="576" w:lineRule="exact"/>
        <w:rPr>
          <w:rFonts w:hint="default" w:ascii="黑体" w:hAnsi="黑体" w:eastAsia="黑体"/>
          <w:color w:val="000000"/>
          <w:kern w:val="2"/>
          <w:sz w:val="32"/>
          <w:szCs w:val="24"/>
        </w:rPr>
      </w:pPr>
      <w:r>
        <w:rPr>
          <w:rFonts w:hint="default" w:ascii="黑体" w:hAnsi="黑体" w:eastAsia="黑体"/>
          <w:color w:val="000000"/>
          <w:kern w:val="2"/>
          <w:sz w:val="32"/>
          <w:szCs w:val="24"/>
        </w:rPr>
        <w:t>附件2</w:t>
      </w:r>
    </w:p>
    <w:p>
      <w:pPr>
        <w:pStyle w:val="2"/>
        <w:rPr>
          <w:rFonts w:hint="eastAsia"/>
          <w:sz w:val="24"/>
          <w:szCs w:val="24"/>
        </w:rPr>
      </w:pPr>
    </w:p>
    <w:p>
      <w:pPr>
        <w:spacing w:line="576" w:lineRule="exact"/>
        <w:jc w:val="center"/>
        <w:rPr>
          <w:rFonts w:hint="eastAsia" w:ascii="方正小标宋_GBK" w:hAnsi="方正小标宋_GBK" w:eastAsia="方正小标宋_GBK"/>
          <w:sz w:val="44"/>
          <w:szCs w:val="24"/>
        </w:rPr>
      </w:pPr>
      <w:r>
        <w:rPr>
          <w:rFonts w:hint="eastAsia" w:ascii="方正小标宋_GBK" w:hAnsi="方正小标宋_GBK" w:eastAsia="方正小标宋_GBK"/>
          <w:sz w:val="44"/>
          <w:szCs w:val="24"/>
        </w:rPr>
        <w:t>2022年</w:t>
      </w:r>
      <w:r>
        <w:rPr>
          <w:rFonts w:hint="eastAsia" w:ascii="方正小标宋_GBK" w:hAnsi="方正小标宋_GBK" w:eastAsia="方正小标宋_GBK"/>
          <w:sz w:val="44"/>
          <w:szCs w:val="24"/>
          <w:lang w:val="zh-CN"/>
        </w:rPr>
        <w:t>专项预算项目</w:t>
      </w:r>
      <w:r>
        <w:rPr>
          <w:rFonts w:hint="eastAsia" w:ascii="方正小标宋_GBK" w:hAnsi="方正小标宋_GBK" w:eastAsia="方正小标宋_GBK"/>
          <w:sz w:val="44"/>
          <w:szCs w:val="24"/>
        </w:rPr>
        <w:t>支出绩效</w:t>
      </w:r>
    </w:p>
    <w:p>
      <w:pPr>
        <w:spacing w:line="576" w:lineRule="exact"/>
        <w:jc w:val="center"/>
        <w:rPr>
          <w:rFonts w:hint="eastAsia" w:ascii="方正小标宋_GBK" w:hAnsi="方正小标宋_GBK" w:eastAsia="方正小标宋_GBK"/>
          <w:sz w:val="44"/>
          <w:szCs w:val="24"/>
        </w:rPr>
      </w:pPr>
      <w:r>
        <w:rPr>
          <w:rFonts w:hint="eastAsia" w:ascii="方正小标宋_GBK" w:hAnsi="方正小标宋_GBK" w:eastAsia="方正小标宋_GBK"/>
          <w:sz w:val="44"/>
          <w:szCs w:val="24"/>
        </w:rPr>
        <w:t>自评报告</w:t>
      </w:r>
    </w:p>
    <w:p>
      <w:pPr>
        <w:pStyle w:val="15"/>
        <w:spacing w:line="576" w:lineRule="exact"/>
        <w:ind w:firstLine="640"/>
        <w:jc w:val="center"/>
        <w:rPr>
          <w:rFonts w:hint="eastAsia"/>
          <w:color w:val="auto"/>
          <w:kern w:val="2"/>
          <w:sz w:val="32"/>
          <w:szCs w:val="24"/>
        </w:rPr>
      </w:pPr>
    </w:p>
    <w:p>
      <w:pPr>
        <w:snapToGrid w:val="0"/>
        <w:spacing w:line="576" w:lineRule="exact"/>
        <w:ind w:firstLine="720"/>
        <w:rPr>
          <w:rFonts w:hint="eastAsia" w:ascii="方正黑体_GBK" w:hAnsi="方正黑体_GBK" w:eastAsia="方正黑体_GBK"/>
          <w:sz w:val="32"/>
          <w:szCs w:val="24"/>
          <w:lang w:val="zh-CN"/>
        </w:rPr>
      </w:pPr>
      <w:r>
        <w:rPr>
          <w:rFonts w:hint="eastAsia" w:ascii="方正黑体_GBK" w:hAnsi="方正黑体_GBK" w:eastAsia="方正黑体_GBK"/>
          <w:sz w:val="32"/>
          <w:szCs w:val="24"/>
        </w:rPr>
        <w:t>一、</w:t>
      </w:r>
      <w:r>
        <w:rPr>
          <w:rFonts w:hint="eastAsia" w:ascii="方正黑体_GBK" w:hAnsi="方正黑体_GBK" w:eastAsia="方正黑体_GBK"/>
          <w:sz w:val="32"/>
          <w:szCs w:val="24"/>
          <w:lang w:val="zh-CN"/>
        </w:rPr>
        <w:t>项目概况</w:t>
      </w:r>
    </w:p>
    <w:p>
      <w:pPr>
        <w:snapToGrid w:val="0"/>
        <w:spacing w:line="576" w:lineRule="exact"/>
        <w:ind w:firstLine="720"/>
        <w:rPr>
          <w:rFonts w:hint="eastAsia" w:ascii="方正楷体_GBK" w:hAnsi="方正楷体_GBK" w:eastAsia="方正楷体_GBK"/>
          <w:sz w:val="32"/>
          <w:szCs w:val="24"/>
          <w:lang w:val="zh-CN"/>
        </w:rPr>
      </w:pPr>
      <w:r>
        <w:rPr>
          <w:rFonts w:hint="eastAsia" w:ascii="方正楷体_GBK" w:hAnsi="方正楷体_GBK" w:eastAsia="方正楷体_GBK"/>
          <w:sz w:val="32"/>
          <w:szCs w:val="24"/>
          <w:lang w:val="zh-CN"/>
        </w:rPr>
        <w:t>（一）项目基本情况</w:t>
      </w:r>
    </w:p>
    <w:p>
      <w:pPr>
        <w:suppressAutoHyphens/>
        <w:spacing w:line="576" w:lineRule="exact"/>
        <w:ind w:firstLine="640" w:firstLineChars="20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中共雅安市纪委、雅安市监委202</w:t>
      </w:r>
      <w:r>
        <w:rPr>
          <w:rFonts w:hint="eastAsia" w:ascii="仿宋_GB2312" w:hAnsi="仿宋_GB2312" w:eastAsia="仿宋_GB2312"/>
          <w:sz w:val="32"/>
          <w:szCs w:val="24"/>
        </w:rPr>
        <w:t>2</w:t>
      </w:r>
      <w:r>
        <w:rPr>
          <w:rFonts w:hint="eastAsia" w:ascii="仿宋_GB2312" w:hAnsi="仿宋_GB2312" w:eastAsia="仿宋_GB2312"/>
          <w:sz w:val="32"/>
          <w:szCs w:val="24"/>
          <w:lang w:val="zh-CN"/>
        </w:rPr>
        <w:t>年度安排干部培训专项经费由市纪委监委组织部负责</w:t>
      </w:r>
      <w:r>
        <w:rPr>
          <w:rFonts w:hint="eastAsia" w:ascii="仿宋_GB2312" w:hAnsi="仿宋_GB2312" w:eastAsia="仿宋_GB2312"/>
          <w:sz w:val="32"/>
          <w:szCs w:val="24"/>
        </w:rPr>
        <w:t>组</w:t>
      </w:r>
      <w:r>
        <w:rPr>
          <w:rFonts w:hint="eastAsia" w:ascii="仿宋_GB2312" w:hAnsi="仿宋_GB2312" w:eastAsia="仿宋_GB2312"/>
          <w:sz w:val="32"/>
          <w:szCs w:val="24"/>
          <w:lang w:val="zh-CN"/>
        </w:rPr>
        <w:t>织实施。主要内容为将全员培训作为建设政治强、业务精、作风好纪检干部队伍的重要措施，大力实施担当能力提升行动，分层级分领域深化全员培训，不断提升新时代纪检监察干部能力和工作水平，更好履行在党的自我革命中的重要责任和使命。干部培训专项经费为90万元 ，该专项资金纳入中共雅安市纪律检查委员会部门预算管理。</w:t>
      </w:r>
    </w:p>
    <w:p>
      <w:pPr>
        <w:suppressAutoHyphens/>
        <w:spacing w:line="576" w:lineRule="exact"/>
        <w:ind w:firstLine="640" w:firstLineChars="200"/>
        <w:rPr>
          <w:rFonts w:hint="eastAsia" w:ascii="方正楷体_GBK" w:hAnsi="方正楷体_GBK" w:eastAsia="方正楷体_GBK"/>
          <w:sz w:val="32"/>
          <w:szCs w:val="24"/>
          <w:lang w:val="zh-CN"/>
        </w:rPr>
      </w:pPr>
      <w:r>
        <w:rPr>
          <w:rFonts w:hint="eastAsia" w:ascii="方正楷体_GBK" w:hAnsi="方正楷体_GBK" w:eastAsia="方正楷体_GBK"/>
          <w:sz w:val="32"/>
          <w:szCs w:val="24"/>
          <w:lang w:val="zh-CN"/>
        </w:rPr>
        <w:t>（二）项目绩效目标</w:t>
      </w:r>
    </w:p>
    <w:p>
      <w:pPr>
        <w:suppressAutoHyphens/>
        <w:spacing w:line="576" w:lineRule="exact"/>
        <w:ind w:firstLine="640" w:firstLineChars="20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1.项目总体目标。</w:t>
      </w:r>
    </w:p>
    <w:p>
      <w:pPr>
        <w:suppressAutoHyphens/>
        <w:spacing w:line="576" w:lineRule="exact"/>
        <w:ind w:firstLine="640" w:firstLineChars="20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通过分层分类组织开展全员培训，补齐干部能力素质短板，推动纪检监察干部政治素质和业务能力双提升，加强自身建设，锻造忠诚干净担当、敢于善于斗争的纪检监察铁军。</w:t>
      </w:r>
    </w:p>
    <w:p>
      <w:pPr>
        <w:suppressAutoHyphens/>
        <w:spacing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2.</w:t>
      </w:r>
      <w:r>
        <w:rPr>
          <w:rFonts w:hint="eastAsia" w:ascii="仿宋_GB2312" w:hAnsi="仿宋_GB2312" w:eastAsia="仿宋_GB2312"/>
          <w:sz w:val="32"/>
          <w:szCs w:val="24"/>
          <w:lang w:val="zh-CN"/>
        </w:rPr>
        <w:t>年度绩效目标。</w:t>
      </w:r>
    </w:p>
    <w:p>
      <w:pPr>
        <w:suppressAutoHyphens/>
        <w:spacing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 xml:space="preserve">                                                 </w:t>
      </w:r>
    </w:p>
    <w:p>
      <w:pPr>
        <w:pStyle w:val="6"/>
        <w:spacing w:line="576" w:lineRule="exact"/>
        <w:rPr>
          <w:rFonts w:hint="eastAsia"/>
          <w:sz w:val="44"/>
          <w:szCs w:val="24"/>
        </w:rPr>
      </w:pPr>
    </w:p>
    <w:p>
      <w:pPr>
        <w:pStyle w:val="6"/>
        <w:spacing w:line="576" w:lineRule="exact"/>
        <w:rPr>
          <w:rFonts w:hint="eastAsia"/>
          <w:sz w:val="44"/>
          <w:szCs w:val="24"/>
        </w:rPr>
      </w:pPr>
    </w:p>
    <w:p>
      <w:pPr>
        <w:pStyle w:val="6"/>
        <w:spacing w:line="576" w:lineRule="exact"/>
        <w:rPr>
          <w:rFonts w:hint="eastAsia"/>
          <w:sz w:val="44"/>
          <w:szCs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409"/>
        <w:gridCol w:w="2694"/>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68"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一级指标</w:t>
            </w:r>
          </w:p>
        </w:tc>
        <w:tc>
          <w:tcPr>
            <w:tcW w:w="240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二级指标</w:t>
            </w:r>
          </w:p>
        </w:tc>
        <w:tc>
          <w:tcPr>
            <w:tcW w:w="269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三级指标</w:t>
            </w:r>
          </w:p>
        </w:tc>
        <w:tc>
          <w:tcPr>
            <w:tcW w:w="175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6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项目完成</w:t>
            </w:r>
          </w:p>
        </w:tc>
        <w:tc>
          <w:tcPr>
            <w:tcW w:w="24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数量指标</w:t>
            </w:r>
          </w:p>
        </w:tc>
        <w:tc>
          <w:tcPr>
            <w:tcW w:w="269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培训人数</w:t>
            </w:r>
          </w:p>
        </w:tc>
        <w:tc>
          <w:tcPr>
            <w:tcW w:w="175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≥600人次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6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p>
        </w:tc>
        <w:tc>
          <w:tcPr>
            <w:tcW w:w="24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p>
        </w:tc>
        <w:tc>
          <w:tcPr>
            <w:tcW w:w="269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培训班次</w:t>
            </w:r>
          </w:p>
        </w:tc>
        <w:tc>
          <w:tcPr>
            <w:tcW w:w="175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≥6期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6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p>
        </w:tc>
        <w:tc>
          <w:tcPr>
            <w:tcW w:w="240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质量指标</w:t>
            </w:r>
          </w:p>
        </w:tc>
        <w:tc>
          <w:tcPr>
            <w:tcW w:w="269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培训人员合格率</w:t>
            </w:r>
          </w:p>
        </w:tc>
        <w:tc>
          <w:tcPr>
            <w:tcW w:w="175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6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p>
        </w:tc>
        <w:tc>
          <w:tcPr>
            <w:tcW w:w="240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时效指标</w:t>
            </w:r>
          </w:p>
        </w:tc>
        <w:tc>
          <w:tcPr>
            <w:tcW w:w="269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培训计划按期完成率</w:t>
            </w:r>
          </w:p>
        </w:tc>
        <w:tc>
          <w:tcPr>
            <w:tcW w:w="175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68"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项目效益</w:t>
            </w:r>
          </w:p>
        </w:tc>
        <w:tc>
          <w:tcPr>
            <w:tcW w:w="240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服务对象满意度指标</w:t>
            </w:r>
          </w:p>
        </w:tc>
        <w:tc>
          <w:tcPr>
            <w:tcW w:w="269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培训人员满意度</w:t>
            </w:r>
          </w:p>
        </w:tc>
        <w:tc>
          <w:tcPr>
            <w:tcW w:w="175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≥95%</w:t>
            </w:r>
          </w:p>
        </w:tc>
      </w:tr>
    </w:tbl>
    <w:p>
      <w:pPr>
        <w:snapToGrid w:val="0"/>
        <w:spacing w:line="576" w:lineRule="exact"/>
        <w:ind w:firstLine="640" w:firstLineChars="200"/>
        <w:rPr>
          <w:rFonts w:hint="eastAsia" w:ascii="方正楷体_GBK" w:hAnsi="方正楷体_GBK" w:eastAsia="方正楷体_GBK"/>
          <w:sz w:val="32"/>
          <w:szCs w:val="24"/>
          <w:lang w:val="zh-CN"/>
        </w:rPr>
      </w:pPr>
      <w:r>
        <w:rPr>
          <w:rFonts w:hint="eastAsia" w:ascii="方正楷体_GBK" w:hAnsi="方正楷体_GBK" w:eastAsia="方正楷体_GBK"/>
          <w:sz w:val="32"/>
          <w:szCs w:val="24"/>
          <w:lang w:val="zh-CN"/>
        </w:rPr>
        <w:t>（三）项目自评步骤及方法</w:t>
      </w:r>
    </w:p>
    <w:p>
      <w:pPr>
        <w:suppressAutoHyphens/>
        <w:spacing w:line="576" w:lineRule="exact"/>
        <w:ind w:firstLine="640" w:firstLineChars="20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1.指标设置方面。</w:t>
      </w:r>
    </w:p>
    <w:p>
      <w:pPr>
        <w:suppressAutoHyphens/>
        <w:spacing w:line="576" w:lineRule="exact"/>
        <w:ind w:firstLine="640" w:firstLineChars="20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结合干部培训专项经费特点，充分考虑项目实施背景、总体目标和年度绩效目标等因素，在分析数据获取的难易程度及客观性的基础上，考虑到该项目属于运行类项目，具有常规性和延续性的特征，指标设置主要体现在项目完成情况和服务对象满意度上。</w:t>
      </w:r>
    </w:p>
    <w:p>
      <w:pPr>
        <w:suppressAutoHyphens/>
        <w:spacing w:line="576" w:lineRule="exact"/>
        <w:ind w:firstLine="640" w:firstLineChars="20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2.主要评价内容。</w:t>
      </w:r>
    </w:p>
    <w:p>
      <w:pPr>
        <w:suppressAutoHyphens/>
        <w:spacing w:line="576" w:lineRule="exact"/>
        <w:ind w:firstLine="640" w:firstLineChars="20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主要针对干部培训专项经费的实际情况，从培训人次、培训班次、培训人员合格率、培训计划按期完成率、培训人员满意度等方面进行评价。</w:t>
      </w:r>
    </w:p>
    <w:p>
      <w:pPr>
        <w:suppressAutoHyphens/>
        <w:spacing w:line="576" w:lineRule="exact"/>
        <w:ind w:firstLine="640" w:firstLineChars="20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3.评价方法。</w:t>
      </w:r>
    </w:p>
    <w:p>
      <w:pPr>
        <w:suppressAutoHyphens/>
        <w:spacing w:line="576" w:lineRule="exact"/>
        <w:ind w:firstLine="640" w:firstLineChars="20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 xml:space="preserve">采取现场评价为主、非现场评价为辅的方式开展绩效评价工作。查阅和收集项目相关资料以及实施现场评价，通过比较、因素分析等了解项目实施完成情况以及达到的效果。 </w:t>
      </w:r>
    </w:p>
    <w:p>
      <w:pPr>
        <w:snapToGrid w:val="0"/>
        <w:spacing w:line="576" w:lineRule="exact"/>
        <w:ind w:firstLine="720"/>
        <w:rPr>
          <w:rFonts w:hint="eastAsia" w:ascii="方正黑体_GBK" w:hAnsi="方正黑体_GBK" w:eastAsia="方正黑体_GBK"/>
          <w:sz w:val="32"/>
          <w:szCs w:val="24"/>
        </w:rPr>
      </w:pPr>
      <w:r>
        <w:rPr>
          <w:rFonts w:hint="eastAsia" w:ascii="方正黑体_GBK" w:hAnsi="方正黑体_GBK" w:eastAsia="方正黑体_GBK"/>
          <w:sz w:val="32"/>
          <w:szCs w:val="24"/>
        </w:rPr>
        <w:t>二、项目资金申报及使用情况</w:t>
      </w:r>
    </w:p>
    <w:p>
      <w:pPr>
        <w:snapToGrid w:val="0"/>
        <w:spacing w:line="576" w:lineRule="exact"/>
        <w:ind w:firstLine="720"/>
        <w:rPr>
          <w:rFonts w:hint="eastAsia" w:ascii="方正楷体_GBK" w:hAnsi="方正楷体_GBK" w:eastAsia="方正楷体_GBK"/>
          <w:sz w:val="32"/>
          <w:szCs w:val="24"/>
          <w:lang w:val="zh-CN"/>
        </w:rPr>
      </w:pPr>
      <w:r>
        <w:rPr>
          <w:rFonts w:hint="eastAsia" w:ascii="方正楷体_GBK" w:hAnsi="方正楷体_GBK" w:eastAsia="方正楷体_GBK"/>
          <w:sz w:val="32"/>
          <w:szCs w:val="24"/>
          <w:lang w:val="zh-CN"/>
        </w:rPr>
        <w:t>（一）项目资金申报及批复情况</w:t>
      </w:r>
    </w:p>
    <w:p>
      <w:pPr>
        <w:suppressAutoHyphens/>
        <w:spacing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lang w:val="zh-CN"/>
        </w:rPr>
        <w:t>市纪委监委机关202</w:t>
      </w:r>
      <w:r>
        <w:rPr>
          <w:rFonts w:hint="eastAsia" w:ascii="仿宋_GB2312" w:hAnsi="仿宋_GB2312" w:eastAsia="仿宋_GB2312"/>
          <w:sz w:val="32"/>
          <w:szCs w:val="24"/>
        </w:rPr>
        <w:t>2</w:t>
      </w:r>
      <w:r>
        <w:rPr>
          <w:rFonts w:hint="eastAsia" w:ascii="仿宋_GB2312" w:hAnsi="仿宋_GB2312" w:eastAsia="仿宋_GB2312"/>
          <w:sz w:val="32"/>
          <w:szCs w:val="24"/>
          <w:lang w:val="zh-CN"/>
        </w:rPr>
        <w:t>年干部培训专项经费属常规性、延续性项目，结合上年干部培训专项经费使用情况，年初列入预算90万元，经市人大批复后由市财政局下达。年终调整后预算数为</w:t>
      </w:r>
      <w:r>
        <w:rPr>
          <w:rFonts w:hint="eastAsia" w:ascii="仿宋_GB2312" w:hAnsi="仿宋_GB2312" w:eastAsia="仿宋_GB2312"/>
          <w:sz w:val="32"/>
          <w:szCs w:val="24"/>
        </w:rPr>
        <w:t>44.61万元。</w:t>
      </w:r>
    </w:p>
    <w:p>
      <w:pPr>
        <w:snapToGrid w:val="0"/>
        <w:spacing w:line="576" w:lineRule="exact"/>
        <w:ind w:firstLine="720"/>
        <w:rPr>
          <w:rFonts w:hint="eastAsia" w:ascii="方正楷体_GBK" w:hAnsi="方正楷体_GBK" w:eastAsia="方正楷体_GBK"/>
          <w:sz w:val="32"/>
          <w:szCs w:val="24"/>
          <w:lang w:val="zh-CN"/>
        </w:rPr>
      </w:pPr>
      <w:r>
        <w:rPr>
          <w:rFonts w:hint="eastAsia" w:ascii="方正楷体_GBK" w:hAnsi="方正楷体_GBK" w:eastAsia="方正楷体_GBK"/>
          <w:sz w:val="32"/>
          <w:szCs w:val="24"/>
          <w:lang w:val="zh-CN"/>
        </w:rPr>
        <w:t>（二）资金计划、到位及使用情况</w:t>
      </w:r>
    </w:p>
    <w:p>
      <w:pPr>
        <w:suppressAutoHyphens/>
        <w:spacing w:line="576" w:lineRule="exact"/>
        <w:ind w:firstLine="640" w:firstLineChars="20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1．资金计划。市财政局下达市纪委监委机关干部培训专项经费90万元，主要用于开展各类纪检监察业务培训。</w:t>
      </w:r>
    </w:p>
    <w:p>
      <w:pPr>
        <w:suppressAutoHyphens/>
        <w:spacing w:line="576" w:lineRule="exact"/>
        <w:ind w:firstLine="640" w:firstLineChars="20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2．资金到位。202</w:t>
      </w:r>
      <w:r>
        <w:rPr>
          <w:rFonts w:hint="eastAsia" w:ascii="仿宋_GB2312" w:hAnsi="仿宋_GB2312" w:eastAsia="仿宋_GB2312"/>
          <w:sz w:val="32"/>
          <w:szCs w:val="24"/>
        </w:rPr>
        <w:t>2</w:t>
      </w:r>
      <w:r>
        <w:rPr>
          <w:rFonts w:hint="eastAsia" w:ascii="仿宋_GB2312" w:hAnsi="仿宋_GB2312" w:eastAsia="仿宋_GB2312"/>
          <w:sz w:val="32"/>
          <w:szCs w:val="24"/>
          <w:lang w:val="zh-CN"/>
        </w:rPr>
        <w:t>年度干部培训专项经费实际到位</w:t>
      </w:r>
      <w:r>
        <w:rPr>
          <w:rFonts w:hint="eastAsia" w:ascii="仿宋_GB2312" w:hAnsi="仿宋_GB2312" w:eastAsia="仿宋_GB2312"/>
          <w:sz w:val="32"/>
          <w:szCs w:val="24"/>
        </w:rPr>
        <w:t>44.61</w:t>
      </w:r>
      <w:r>
        <w:rPr>
          <w:rFonts w:hint="eastAsia" w:ascii="仿宋_GB2312" w:hAnsi="仿宋_GB2312" w:eastAsia="仿宋_GB2312"/>
          <w:sz w:val="32"/>
          <w:szCs w:val="24"/>
          <w:lang w:val="zh-CN"/>
        </w:rPr>
        <w:t>万元。</w:t>
      </w:r>
    </w:p>
    <w:p>
      <w:pPr>
        <w:suppressAutoHyphens/>
        <w:spacing w:line="576" w:lineRule="exact"/>
        <w:ind w:firstLine="640" w:firstLineChars="20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3．资金使用。202</w:t>
      </w:r>
      <w:r>
        <w:rPr>
          <w:rFonts w:hint="eastAsia" w:ascii="仿宋_GB2312" w:hAnsi="仿宋_GB2312" w:eastAsia="仿宋_GB2312"/>
          <w:sz w:val="32"/>
          <w:szCs w:val="24"/>
        </w:rPr>
        <w:t>2</w:t>
      </w:r>
      <w:r>
        <w:rPr>
          <w:rFonts w:hint="eastAsia" w:ascii="仿宋_GB2312" w:hAnsi="仿宋_GB2312" w:eastAsia="仿宋_GB2312"/>
          <w:sz w:val="32"/>
          <w:szCs w:val="24"/>
          <w:lang w:val="zh-CN"/>
        </w:rPr>
        <w:t>年度干部培训专项经费累计支出</w:t>
      </w:r>
      <w:r>
        <w:rPr>
          <w:rFonts w:hint="eastAsia" w:ascii="仿宋_GB2312" w:hAnsi="仿宋_GB2312" w:eastAsia="仿宋_GB2312"/>
          <w:sz w:val="32"/>
          <w:szCs w:val="24"/>
        </w:rPr>
        <w:t>44.61</w:t>
      </w:r>
      <w:r>
        <w:rPr>
          <w:rFonts w:hint="eastAsia" w:ascii="仿宋_GB2312" w:hAnsi="仿宋_GB2312" w:eastAsia="仿宋_GB2312"/>
          <w:sz w:val="32"/>
          <w:szCs w:val="24"/>
          <w:lang w:val="zh-CN"/>
        </w:rPr>
        <w:t>万元。</w:t>
      </w:r>
    </w:p>
    <w:p>
      <w:pPr>
        <w:snapToGrid w:val="0"/>
        <w:spacing w:line="576" w:lineRule="exact"/>
        <w:ind w:firstLine="720"/>
        <w:rPr>
          <w:rFonts w:hint="eastAsia" w:ascii="方正楷体_GBK" w:hAnsi="方正楷体_GBK" w:eastAsia="方正楷体_GBK"/>
          <w:sz w:val="32"/>
          <w:szCs w:val="24"/>
          <w:lang w:val="zh-CN"/>
        </w:rPr>
      </w:pPr>
      <w:r>
        <w:rPr>
          <w:rFonts w:hint="eastAsia" w:ascii="方正楷体_GBK" w:hAnsi="方正楷体_GBK" w:eastAsia="方正楷体_GBK"/>
          <w:sz w:val="32"/>
          <w:szCs w:val="24"/>
          <w:lang w:val="zh-CN"/>
        </w:rPr>
        <w:t>（三）项目财务管理情况</w:t>
      </w:r>
    </w:p>
    <w:p>
      <w:pPr>
        <w:snapToGrid w:val="0"/>
        <w:spacing w:line="576" w:lineRule="exact"/>
        <w:ind w:firstLine="72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根据《中华人民共和国预算法》等制度要求，市纪委监委机关对项目实行了国库集中支付，资金支出严格依据相关财务制度和预算标准执行，资金使用合法合规，财务信息真实完整，坚持了厉行节约，不存在资金截留、挤占和挪用现象。</w:t>
      </w:r>
    </w:p>
    <w:p>
      <w:pPr>
        <w:snapToGrid w:val="0"/>
        <w:spacing w:line="576" w:lineRule="exact"/>
        <w:ind w:firstLine="720"/>
        <w:rPr>
          <w:rFonts w:hint="eastAsia" w:ascii="方正黑体_GBK" w:hAnsi="方正黑体_GBK" w:eastAsia="方正黑体_GBK"/>
          <w:sz w:val="32"/>
          <w:szCs w:val="24"/>
        </w:rPr>
      </w:pPr>
      <w:r>
        <w:rPr>
          <w:rFonts w:hint="eastAsia" w:ascii="方正黑体_GBK" w:hAnsi="方正黑体_GBK" w:eastAsia="方正黑体_GBK"/>
          <w:sz w:val="32"/>
          <w:szCs w:val="24"/>
        </w:rPr>
        <w:t>三、项目实施及管理情况</w:t>
      </w:r>
    </w:p>
    <w:p>
      <w:pPr>
        <w:suppressAutoHyphens/>
        <w:spacing w:line="576" w:lineRule="exact"/>
        <w:ind w:firstLine="640" w:firstLineChars="20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市纪委监委机关是干部培训专项经费的主管部门和实施部门，年初由市纪委监委组织部制定年度培训计划，市监委留置管理中心统一编制年度预算、汇总年终决算。干部培训专项经费主要执行的管理制度包括《中共雅安市纪委机关雅安市监察委员会政府采购业务管理制度》和《委机关财务管理制度（试行）》等，从制度内容来看，基本能满足项目管理需要。根据评价情况来看，项目管理和财务管理制度得到了有效、一贯的执行，未发现支出调整手续不完备、验收资料不齐全等方面的问题。</w:t>
      </w:r>
    </w:p>
    <w:p>
      <w:pPr>
        <w:snapToGrid w:val="0"/>
        <w:spacing w:line="576" w:lineRule="exact"/>
        <w:ind w:firstLine="720"/>
        <w:rPr>
          <w:rFonts w:hint="eastAsia" w:ascii="方正黑体_GBK" w:hAnsi="方正黑体_GBK" w:eastAsia="方正黑体_GBK"/>
          <w:sz w:val="32"/>
          <w:szCs w:val="24"/>
          <w:lang w:val="zh-CN"/>
        </w:rPr>
      </w:pPr>
      <w:r>
        <w:rPr>
          <w:rFonts w:hint="eastAsia" w:ascii="方正黑体_GBK" w:hAnsi="方正黑体_GBK" w:eastAsia="方正黑体_GBK"/>
          <w:sz w:val="32"/>
          <w:szCs w:val="24"/>
        </w:rPr>
        <w:t>四、项目绩效情况</w:t>
      </w:r>
      <w:r>
        <w:rPr>
          <w:rFonts w:hint="eastAsia" w:ascii="方正黑体_GBK" w:hAnsi="方正黑体_GBK" w:eastAsia="方正黑体_GBK"/>
          <w:sz w:val="32"/>
          <w:szCs w:val="24"/>
          <w:lang w:val="zh-CN"/>
        </w:rPr>
        <w:tab/>
      </w:r>
    </w:p>
    <w:p>
      <w:pPr>
        <w:snapToGrid w:val="0"/>
        <w:spacing w:line="576" w:lineRule="exact"/>
        <w:ind w:firstLine="720"/>
        <w:rPr>
          <w:rFonts w:hint="eastAsia" w:ascii="方正楷体_GBK" w:hAnsi="方正楷体_GBK" w:eastAsia="方正楷体_GBK"/>
          <w:sz w:val="32"/>
          <w:szCs w:val="24"/>
          <w:lang w:val="zh-CN"/>
        </w:rPr>
      </w:pPr>
      <w:r>
        <w:rPr>
          <w:rFonts w:hint="eastAsia" w:ascii="方正楷体_GBK" w:hAnsi="方正楷体_GBK" w:eastAsia="方正楷体_GBK"/>
          <w:sz w:val="32"/>
          <w:szCs w:val="24"/>
          <w:lang w:val="zh-CN"/>
        </w:rPr>
        <w:t>（一）项目完成情况</w:t>
      </w:r>
    </w:p>
    <w:p>
      <w:pPr>
        <w:suppressAutoHyphens/>
        <w:spacing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2022年，举办全市乡镇（街道）纪委（纪工委）书记、副书记综合素质能力提升培训班，培训全市乡镇（街道）纪（工）委书记、副书记99人。承接省纪委监委第二片区培训工作，会同自贡、泸州、宜宾、甘孜等4个市（州）牵头做好全省纪检监察干部业务培训，举办乡镇（街道）专职纪检监察干部业务培训班，培训5个市（州）乡镇（街道）纪委（纪工委）书记365人。县（区）17名基层专职纪检监察干部到市纪委监委跟案锻炼，到省纪委上挂调训20人次。乡镇（街道）专职纪检监察干部到上级纪委监委参与3个月以上审查调查工作91人。</w:t>
      </w:r>
    </w:p>
    <w:p>
      <w:pPr>
        <w:snapToGrid w:val="0"/>
        <w:spacing w:line="576" w:lineRule="exact"/>
        <w:ind w:firstLine="720"/>
        <w:rPr>
          <w:rFonts w:hint="eastAsia" w:ascii="方正楷体_GBK" w:hAnsi="方正楷体_GBK" w:eastAsia="方正楷体_GBK"/>
          <w:sz w:val="32"/>
          <w:szCs w:val="24"/>
          <w:lang w:val="zh-CN"/>
        </w:rPr>
      </w:pPr>
      <w:r>
        <w:rPr>
          <w:rFonts w:hint="eastAsia" w:ascii="方正楷体_GBK" w:hAnsi="方正楷体_GBK" w:eastAsia="方正楷体_GBK"/>
          <w:sz w:val="32"/>
          <w:szCs w:val="24"/>
          <w:lang w:val="zh-CN"/>
        </w:rPr>
        <w:t>（二）项目效益情况</w:t>
      </w:r>
    </w:p>
    <w:p>
      <w:pPr>
        <w:suppressAutoHyphens/>
        <w:spacing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克服疫情影响，创新培训方式，大力实施提级培训，推动全员培训理念日渐深入人心，全员培训工作逐步迈向常态化、制度化，在提高纪检监察队伍能力素质、服务保障纪检监察工作高质量发展方面发挥了重要作用。</w:t>
      </w:r>
    </w:p>
    <w:p>
      <w:pPr>
        <w:snapToGrid w:val="0"/>
        <w:spacing w:line="576" w:lineRule="exact"/>
        <w:ind w:firstLine="720"/>
        <w:rPr>
          <w:rFonts w:hint="eastAsia" w:ascii="方正黑体_GBK" w:hAnsi="方正黑体_GBK" w:eastAsia="方正黑体_GBK"/>
          <w:sz w:val="32"/>
          <w:szCs w:val="24"/>
        </w:rPr>
      </w:pPr>
      <w:r>
        <w:rPr>
          <w:rFonts w:hint="eastAsia" w:ascii="仿宋_GB2312" w:hAnsi="仿宋_GB2312" w:eastAsia="仿宋_GB2312"/>
          <w:sz w:val="32"/>
          <w:szCs w:val="24"/>
        </w:rPr>
        <w:t xml:space="preserve">  </w:t>
      </w:r>
      <w:r>
        <w:rPr>
          <w:rFonts w:hint="eastAsia" w:ascii="方正黑体_GBK" w:hAnsi="方正黑体_GBK" w:eastAsia="方正黑体_GBK"/>
          <w:sz w:val="32"/>
          <w:szCs w:val="24"/>
        </w:rPr>
        <w:t>五、评价结论及建议</w:t>
      </w:r>
    </w:p>
    <w:p>
      <w:pPr>
        <w:snapToGrid w:val="0"/>
        <w:spacing w:line="576" w:lineRule="exact"/>
        <w:ind w:firstLine="720"/>
        <w:rPr>
          <w:rFonts w:hint="eastAsia" w:ascii="方正楷体_GBK" w:hAnsi="方正楷体_GBK" w:eastAsia="方正楷体_GBK"/>
          <w:sz w:val="32"/>
          <w:szCs w:val="24"/>
          <w:lang w:val="zh-CN"/>
        </w:rPr>
      </w:pPr>
      <w:r>
        <w:rPr>
          <w:rFonts w:hint="eastAsia" w:ascii="方正楷体_GBK" w:hAnsi="方正楷体_GBK" w:eastAsia="方正楷体_GBK"/>
          <w:sz w:val="32"/>
          <w:szCs w:val="24"/>
          <w:lang w:val="zh-CN"/>
        </w:rPr>
        <w:t>（一）评价结论</w:t>
      </w:r>
    </w:p>
    <w:p>
      <w:pPr>
        <w:suppressAutoHyphens/>
        <w:spacing w:line="576" w:lineRule="exact"/>
        <w:ind w:firstLine="640" w:firstLineChars="20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总体来看，干部培训专项经费决策程序较严密，规划较合理；资金分配较及时、项目管理较规范；有效提高了纪检监察干部的业务、综合知识和实际操作能力，推动纪检监察干部政治素质和业务能力双提升。但受疫情影响，</w:t>
      </w:r>
      <w:r>
        <w:rPr>
          <w:rFonts w:hint="eastAsia" w:ascii="仿宋_GB2312" w:hAnsi="仿宋_GB2312" w:eastAsia="仿宋_GB2312"/>
          <w:sz w:val="32"/>
          <w:szCs w:val="24"/>
        </w:rPr>
        <w:t>2022年8-10月未举办主体培训班，导致培训计划未能如期完成。</w:t>
      </w:r>
    </w:p>
    <w:p>
      <w:pPr>
        <w:snapToGrid w:val="0"/>
        <w:spacing w:line="576" w:lineRule="exact"/>
        <w:ind w:firstLine="720"/>
        <w:rPr>
          <w:rFonts w:hint="eastAsia" w:ascii="方正楷体_GBK" w:hAnsi="方正楷体_GBK" w:eastAsia="方正楷体_GBK"/>
          <w:sz w:val="32"/>
          <w:szCs w:val="24"/>
          <w:lang w:val="zh-CN"/>
        </w:rPr>
      </w:pPr>
      <w:r>
        <w:rPr>
          <w:rFonts w:hint="eastAsia" w:ascii="方正楷体_GBK" w:hAnsi="方正楷体_GBK" w:eastAsia="方正楷体_GBK"/>
          <w:sz w:val="32"/>
          <w:szCs w:val="24"/>
          <w:lang w:val="zh-CN"/>
        </w:rPr>
        <w:t>（二）存在的问题</w:t>
      </w:r>
    </w:p>
    <w:p>
      <w:pPr>
        <w:snapToGrid w:val="0"/>
        <w:spacing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lang w:val="zh-CN"/>
        </w:rPr>
        <w:t>通过开展绩效自评，在绩效目标编制上需进一步规范，绩效结果运用需进一步的加强。</w:t>
      </w:r>
    </w:p>
    <w:p>
      <w:pPr>
        <w:snapToGrid w:val="0"/>
        <w:spacing w:line="576" w:lineRule="exact"/>
        <w:ind w:firstLine="720"/>
        <w:rPr>
          <w:rFonts w:hint="eastAsia" w:ascii="方正楷体_GBK" w:hAnsi="方正楷体_GBK" w:eastAsia="方正楷体_GBK"/>
          <w:sz w:val="32"/>
          <w:szCs w:val="24"/>
          <w:lang w:val="zh-CN"/>
        </w:rPr>
      </w:pPr>
      <w:r>
        <w:rPr>
          <w:rFonts w:hint="eastAsia" w:ascii="方正楷体_GBK" w:hAnsi="方正楷体_GBK" w:eastAsia="方正楷体_GBK"/>
          <w:sz w:val="32"/>
          <w:szCs w:val="24"/>
          <w:lang w:val="zh-CN"/>
        </w:rPr>
        <w:t>（三）相关建议</w:t>
      </w:r>
    </w:p>
    <w:p>
      <w:pPr>
        <w:pStyle w:val="10"/>
        <w:widowControl/>
        <w:spacing w:beforeAutospacing="0" w:after="150" w:afterAutospacing="0" w:line="576" w:lineRule="exact"/>
        <w:ind w:right="45"/>
        <w:jc w:val="both"/>
        <w:rPr>
          <w:rFonts w:hint="eastAsia" w:ascii="仿宋_GB2312" w:hAnsi="仿宋_GB2312" w:eastAsia="仿宋_GB2312"/>
          <w:kern w:val="2"/>
          <w:sz w:val="32"/>
          <w:szCs w:val="24"/>
          <w:lang w:val="zh-CN"/>
        </w:rPr>
      </w:pPr>
      <w:r>
        <w:rPr>
          <w:rFonts w:hint="eastAsia" w:ascii="仿宋_GB2312" w:hAnsi="仿宋_GB2312" w:eastAsia="仿宋_GB2312"/>
          <w:kern w:val="2"/>
          <w:sz w:val="32"/>
          <w:szCs w:val="24"/>
          <w:lang w:val="zh-CN"/>
        </w:rPr>
        <w:t>　　市纪委监委机关将严格按照相关要求，落实绩效管理主体责任，督促市纪委监委组织部扎实开展项目前期调研，收集项目相关数据，突出绩效目标细化量化工作，科学合理编制绩效目标。强化绩效结果应用，提高绩效管理成效。</w:t>
      </w:r>
    </w:p>
    <w:p>
      <w:pPr>
        <w:spacing w:line="576" w:lineRule="exact"/>
        <w:jc w:val="center"/>
        <w:rPr>
          <w:rFonts w:hint="eastAsia" w:ascii="仿宋_GB2312" w:hAnsi="仿宋_GB2312" w:eastAsia="仿宋_GB2312"/>
          <w:sz w:val="32"/>
          <w:szCs w:val="24"/>
        </w:rPr>
      </w:pPr>
    </w:p>
    <w:p>
      <w:pPr>
        <w:spacing w:line="576" w:lineRule="exact"/>
        <w:jc w:val="center"/>
        <w:rPr>
          <w:rFonts w:hint="eastAsia" w:ascii="仿宋_GB2312" w:hAnsi="仿宋_GB2312" w:eastAsia="仿宋_GB2312"/>
          <w:sz w:val="32"/>
          <w:szCs w:val="24"/>
        </w:rPr>
      </w:pPr>
    </w:p>
    <w:p>
      <w:pPr>
        <w:spacing w:line="576" w:lineRule="exact"/>
        <w:jc w:val="center"/>
        <w:rPr>
          <w:rFonts w:hint="eastAsia" w:ascii="仿宋_GB2312" w:hAnsi="仿宋_GB2312" w:eastAsia="仿宋_GB2312"/>
          <w:sz w:val="32"/>
          <w:szCs w:val="24"/>
        </w:rPr>
      </w:pPr>
    </w:p>
    <w:p>
      <w:pPr>
        <w:spacing w:line="576" w:lineRule="exact"/>
        <w:jc w:val="center"/>
        <w:rPr>
          <w:rFonts w:hint="eastAsia" w:ascii="仿宋_GB2312" w:hAnsi="仿宋_GB2312" w:eastAsia="仿宋_GB2312"/>
          <w:sz w:val="32"/>
          <w:szCs w:val="24"/>
        </w:rPr>
      </w:pPr>
    </w:p>
    <w:p>
      <w:pPr>
        <w:pStyle w:val="2"/>
        <w:ind w:left="640" w:firstLine="640"/>
        <w:rPr>
          <w:rFonts w:hint="eastAsia" w:hAnsi="仿宋_GB2312"/>
          <w:sz w:val="32"/>
          <w:szCs w:val="24"/>
        </w:rPr>
      </w:pPr>
    </w:p>
    <w:p>
      <w:pPr>
        <w:spacing w:line="576" w:lineRule="exact"/>
        <w:jc w:val="center"/>
        <w:rPr>
          <w:rFonts w:hint="eastAsia" w:ascii="仿宋_GB2312" w:hAnsi="仿宋_GB2312" w:eastAsia="仿宋_GB2312"/>
          <w:sz w:val="32"/>
          <w:szCs w:val="24"/>
        </w:rPr>
      </w:pPr>
    </w:p>
    <w:p>
      <w:pPr>
        <w:spacing w:line="576" w:lineRule="exact"/>
        <w:jc w:val="center"/>
        <w:rPr>
          <w:rFonts w:hint="eastAsia" w:ascii="仿宋_GB2312" w:hAnsi="仿宋_GB2312" w:eastAsia="仿宋_GB2312"/>
          <w:sz w:val="32"/>
          <w:szCs w:val="24"/>
        </w:rPr>
      </w:pPr>
    </w:p>
    <w:p>
      <w:pPr>
        <w:pStyle w:val="2"/>
        <w:ind w:left="640" w:firstLine="640"/>
        <w:rPr>
          <w:rFonts w:hint="eastAsia" w:hAnsi="仿宋_GB2312"/>
          <w:sz w:val="32"/>
          <w:szCs w:val="24"/>
        </w:rPr>
      </w:pPr>
    </w:p>
    <w:p>
      <w:pPr>
        <w:spacing w:line="576" w:lineRule="exact"/>
        <w:jc w:val="center"/>
        <w:rPr>
          <w:rFonts w:hint="eastAsia" w:ascii="方正小标宋_GBK" w:hAnsi="方正小标宋_GBK" w:eastAsia="方正小标宋_GBK"/>
          <w:sz w:val="36"/>
          <w:szCs w:val="24"/>
        </w:rPr>
      </w:pPr>
      <w:r>
        <w:rPr>
          <w:rFonts w:hint="eastAsia" w:ascii="方正小标宋_GBK" w:hAnsi="方正小标宋_GBK" w:eastAsia="方正小标宋_GBK"/>
          <w:sz w:val="36"/>
          <w:szCs w:val="24"/>
        </w:rPr>
        <w:t>2022年</w:t>
      </w:r>
      <w:r>
        <w:rPr>
          <w:rFonts w:hint="eastAsia" w:ascii="方正小标宋_GBK" w:hAnsi="方正小标宋_GBK" w:eastAsia="方正小标宋_GBK"/>
          <w:sz w:val="36"/>
          <w:szCs w:val="24"/>
          <w:lang w:val="zh-CN"/>
        </w:rPr>
        <w:t>专项预算项目</w:t>
      </w:r>
      <w:r>
        <w:rPr>
          <w:rFonts w:hint="eastAsia" w:ascii="方正小标宋_GBK" w:hAnsi="方正小标宋_GBK" w:eastAsia="方正小标宋_GBK"/>
          <w:sz w:val="36"/>
          <w:szCs w:val="24"/>
        </w:rPr>
        <w:t>支出绩效自评报告</w:t>
      </w:r>
    </w:p>
    <w:p>
      <w:pPr>
        <w:spacing w:line="576" w:lineRule="exact"/>
        <w:ind w:firstLine="640"/>
        <w:jc w:val="center"/>
        <w:rPr>
          <w:rFonts w:hint="eastAsia" w:ascii="仿宋_GB2312" w:hAnsi="仿宋_GB2312" w:eastAsia="仿宋_GB2312"/>
          <w:sz w:val="32"/>
          <w:szCs w:val="24"/>
          <w:lang w:val="zh-CN"/>
        </w:rPr>
      </w:pPr>
    </w:p>
    <w:p>
      <w:pPr>
        <w:snapToGrid w:val="0"/>
        <w:spacing w:line="576" w:lineRule="exact"/>
        <w:ind w:firstLine="720"/>
        <w:rPr>
          <w:rFonts w:hint="eastAsia" w:ascii="方正黑体_GBK" w:hAnsi="方正黑体_GBK" w:eastAsia="方正黑体_GBK"/>
          <w:sz w:val="32"/>
          <w:szCs w:val="24"/>
          <w:lang w:val="zh-CN"/>
        </w:rPr>
      </w:pPr>
      <w:r>
        <w:rPr>
          <w:rFonts w:hint="eastAsia" w:ascii="方正黑体_GBK" w:hAnsi="方正黑体_GBK" w:eastAsia="方正黑体_GBK"/>
          <w:sz w:val="32"/>
          <w:szCs w:val="24"/>
        </w:rPr>
        <w:t>一、</w:t>
      </w:r>
      <w:r>
        <w:rPr>
          <w:rFonts w:hint="eastAsia" w:ascii="方正黑体_GBK" w:hAnsi="方正黑体_GBK" w:eastAsia="方正黑体_GBK"/>
          <w:sz w:val="32"/>
          <w:szCs w:val="24"/>
          <w:lang w:val="zh-CN"/>
        </w:rPr>
        <w:t>项目概况</w:t>
      </w:r>
    </w:p>
    <w:p>
      <w:pPr>
        <w:snapToGrid w:val="0"/>
        <w:spacing w:line="576" w:lineRule="exact"/>
        <w:ind w:firstLine="720"/>
        <w:rPr>
          <w:rFonts w:hint="eastAsia" w:ascii="方正楷体_GBK" w:hAnsi="方正楷体_GBK" w:eastAsia="方正楷体_GBK"/>
          <w:sz w:val="32"/>
          <w:szCs w:val="24"/>
          <w:lang w:val="zh-CN"/>
        </w:rPr>
      </w:pPr>
      <w:r>
        <w:rPr>
          <w:rFonts w:hint="eastAsia" w:ascii="方正楷体_GBK" w:hAnsi="方正楷体_GBK" w:eastAsia="方正楷体_GBK"/>
          <w:sz w:val="32"/>
          <w:szCs w:val="24"/>
          <w:lang w:val="zh-CN"/>
        </w:rPr>
        <w:t>（一）项目基本情况</w:t>
      </w:r>
    </w:p>
    <w:p>
      <w:pPr>
        <w:suppressAutoHyphens/>
        <w:spacing w:line="576" w:lineRule="exact"/>
        <w:ind w:firstLine="640" w:firstLineChars="200"/>
        <w:rPr>
          <w:rFonts w:hint="eastAsia" w:ascii="仿宋_GB2312" w:hAnsi="仿宋_GB2312" w:eastAsia="仿宋_GB2312"/>
          <w:sz w:val="32"/>
          <w:szCs w:val="24"/>
          <w:lang w:val="zh-CN"/>
        </w:rPr>
      </w:pPr>
      <w:r>
        <w:rPr>
          <w:rFonts w:hint="eastAsia" w:ascii="仿宋_GB2312" w:hAnsi="仿宋_GB2312" w:eastAsia="仿宋_GB2312"/>
          <w:sz w:val="32"/>
          <w:szCs w:val="24"/>
        </w:rPr>
        <w:t>2022年，</w:t>
      </w:r>
      <w:r>
        <w:rPr>
          <w:rFonts w:hint="eastAsia" w:ascii="仿宋_GB2312" w:hAnsi="仿宋_GB2312" w:eastAsia="仿宋_GB2312"/>
          <w:sz w:val="32"/>
          <w:szCs w:val="24"/>
          <w:lang w:val="zh-CN"/>
        </w:rPr>
        <w:t>中共雅安市纪委、雅安市监委将党风廉政建设和反腐败工作宣传经费、阳光问廉栏目经费、廉洁文化基地建设经费整合为一体，保留中共雅安市纪委、雅安市监委党风廉政建设和反腐败工作宣传经费项目名称，由市纪委监委宣传部、市纪委监委党风政风监督室负责组织实施。主要内容为深入整治群众身边腐败和作风问题，转作风树新风，推进不敢腐、不能腐、不想腐反腐败斗争压倒性胜利进一步巩固发展。党风廉政建设和反腐败工作宣传经费为</w:t>
      </w:r>
      <w:r>
        <w:rPr>
          <w:rFonts w:hint="eastAsia" w:ascii="仿宋_GB2312" w:hAnsi="仿宋_GB2312" w:eastAsia="仿宋_GB2312"/>
          <w:sz w:val="32"/>
          <w:szCs w:val="24"/>
        </w:rPr>
        <w:t>350</w:t>
      </w:r>
      <w:r>
        <w:rPr>
          <w:rFonts w:hint="eastAsia" w:ascii="仿宋_GB2312" w:hAnsi="仿宋_GB2312" w:eastAsia="仿宋_GB2312"/>
          <w:sz w:val="32"/>
          <w:szCs w:val="24"/>
          <w:lang w:val="zh-CN"/>
        </w:rPr>
        <w:t>万元，该专项资金纳入中共雅安市纪律检查委员会部门预算管理。</w:t>
      </w:r>
    </w:p>
    <w:p>
      <w:pPr>
        <w:snapToGrid w:val="0"/>
        <w:spacing w:line="576" w:lineRule="exact"/>
        <w:ind w:firstLine="720"/>
        <w:rPr>
          <w:rFonts w:hint="eastAsia" w:ascii="方正楷体_GBK" w:hAnsi="方正楷体_GBK" w:eastAsia="方正楷体_GBK"/>
          <w:sz w:val="32"/>
          <w:szCs w:val="24"/>
          <w:lang w:val="zh-CN"/>
        </w:rPr>
      </w:pPr>
      <w:r>
        <w:rPr>
          <w:rFonts w:hint="eastAsia" w:ascii="方正楷体_GBK" w:hAnsi="方正楷体_GBK" w:eastAsia="方正楷体_GBK"/>
          <w:sz w:val="32"/>
          <w:szCs w:val="24"/>
          <w:lang w:val="zh-CN"/>
        </w:rPr>
        <w:t>（二）项目绩效目标</w:t>
      </w:r>
    </w:p>
    <w:p>
      <w:pPr>
        <w:suppressAutoHyphens/>
        <w:spacing w:line="576" w:lineRule="exact"/>
        <w:ind w:firstLine="640" w:firstLineChars="20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1.项目总体目标。</w:t>
      </w:r>
    </w:p>
    <w:p>
      <w:pPr>
        <w:suppressAutoHyphens/>
        <w:spacing w:line="576" w:lineRule="exact"/>
        <w:ind w:firstLine="640" w:firstLineChars="20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深入践行宣传思想工作“举旗帜、聚民心、育新人、兴文化、展形象”的使命任务，坚持“稳中求进、守正创新”总基调，牢牢把握正确舆论导向，用心用情讲好雅安廉洁故事，为深入推进全面从严治党提供思想保证、精神动力和舆论支持。真刀真枪推动问题整改，切实以评作风、改作风的实际成效赢得民心。</w:t>
      </w:r>
    </w:p>
    <w:p>
      <w:pPr>
        <w:suppressAutoHyphens/>
        <w:spacing w:line="576" w:lineRule="exact"/>
        <w:ind w:firstLine="640" w:firstLineChars="200"/>
        <w:rPr>
          <w:rFonts w:hint="eastAsia"/>
          <w:sz w:val="44"/>
          <w:szCs w:val="24"/>
        </w:rPr>
      </w:pPr>
      <w:r>
        <w:rPr>
          <w:rFonts w:hint="eastAsia" w:ascii="仿宋_GB2312" w:hAnsi="仿宋_GB2312" w:eastAsia="仿宋_GB2312"/>
          <w:sz w:val="32"/>
          <w:szCs w:val="24"/>
        </w:rPr>
        <w:t>2.年度绩效目标。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409"/>
        <w:gridCol w:w="2694"/>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68"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一级指标</w:t>
            </w:r>
          </w:p>
        </w:tc>
        <w:tc>
          <w:tcPr>
            <w:tcW w:w="240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二级指标</w:t>
            </w:r>
          </w:p>
        </w:tc>
        <w:tc>
          <w:tcPr>
            <w:tcW w:w="269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三级指标</w:t>
            </w:r>
          </w:p>
        </w:tc>
        <w:tc>
          <w:tcPr>
            <w:tcW w:w="175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6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项目完成</w:t>
            </w:r>
          </w:p>
        </w:tc>
        <w:tc>
          <w:tcPr>
            <w:tcW w:w="24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数量指标</w:t>
            </w:r>
          </w:p>
        </w:tc>
        <w:tc>
          <w:tcPr>
            <w:tcW w:w="269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rPr>
                <w:rFonts w:hint="default" w:ascii="仿宋" w:hAnsi="仿宋" w:eastAsia="仿宋"/>
                <w:sz w:val="24"/>
                <w:szCs w:val="24"/>
              </w:rPr>
            </w:pPr>
            <w:r>
              <w:rPr>
                <w:rFonts w:hint="default" w:ascii="仿宋" w:hAnsi="仿宋" w:eastAsia="仿宋"/>
                <w:sz w:val="24"/>
                <w:szCs w:val="24"/>
              </w:rPr>
              <w:t>制作《阳光问廉》栏目期数</w:t>
            </w:r>
          </w:p>
        </w:tc>
        <w:tc>
          <w:tcPr>
            <w:tcW w:w="175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≥4期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6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p>
        </w:tc>
        <w:tc>
          <w:tcPr>
            <w:tcW w:w="24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p>
        </w:tc>
        <w:tc>
          <w:tcPr>
            <w:tcW w:w="269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rPr>
                <w:rFonts w:hint="default" w:ascii="仿宋" w:hAnsi="仿宋" w:eastAsia="仿宋"/>
                <w:sz w:val="24"/>
                <w:szCs w:val="24"/>
              </w:rPr>
            </w:pPr>
            <w:r>
              <w:rPr>
                <w:rFonts w:hint="default" w:ascii="仿宋" w:hAnsi="仿宋" w:eastAsia="仿宋"/>
                <w:sz w:val="24"/>
                <w:szCs w:val="24"/>
              </w:rPr>
              <w:t>微信公众号“清风雅语”推送信息</w:t>
            </w:r>
          </w:p>
        </w:tc>
        <w:tc>
          <w:tcPr>
            <w:tcW w:w="175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≥200条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6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p>
        </w:tc>
        <w:tc>
          <w:tcPr>
            <w:tcW w:w="24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p>
        </w:tc>
        <w:tc>
          <w:tcPr>
            <w:tcW w:w="269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rPr>
                <w:rFonts w:hint="default" w:ascii="仿宋" w:hAnsi="仿宋" w:eastAsia="仿宋"/>
                <w:sz w:val="24"/>
                <w:szCs w:val="24"/>
              </w:rPr>
            </w:pPr>
            <w:r>
              <w:rPr>
                <w:rFonts w:hint="default" w:ascii="仿宋" w:hAnsi="仿宋" w:eastAsia="仿宋"/>
                <w:sz w:val="24"/>
                <w:szCs w:val="24"/>
              </w:rPr>
              <w:t xml:space="preserve">   网站推送信息</w:t>
            </w:r>
          </w:p>
        </w:tc>
        <w:tc>
          <w:tcPr>
            <w:tcW w:w="175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≥100条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6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p>
        </w:tc>
        <w:tc>
          <w:tcPr>
            <w:tcW w:w="24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质量指标</w:t>
            </w:r>
          </w:p>
        </w:tc>
        <w:tc>
          <w:tcPr>
            <w:tcW w:w="269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rPr>
                <w:rFonts w:hint="default" w:ascii="仿宋" w:hAnsi="仿宋" w:eastAsia="仿宋"/>
                <w:sz w:val="24"/>
                <w:szCs w:val="24"/>
              </w:rPr>
            </w:pPr>
            <w:r>
              <w:rPr>
                <w:rFonts w:hint="default" w:ascii="仿宋" w:hAnsi="仿宋" w:eastAsia="仿宋"/>
                <w:sz w:val="24"/>
                <w:szCs w:val="24"/>
              </w:rPr>
              <w:t>公职人员遵规守纪度</w:t>
            </w:r>
          </w:p>
        </w:tc>
        <w:tc>
          <w:tcPr>
            <w:tcW w:w="175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6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p>
        </w:tc>
        <w:tc>
          <w:tcPr>
            <w:tcW w:w="24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p>
        </w:tc>
        <w:tc>
          <w:tcPr>
            <w:tcW w:w="269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rPr>
                <w:rFonts w:hint="default" w:ascii="仿宋" w:hAnsi="仿宋" w:eastAsia="仿宋"/>
                <w:sz w:val="24"/>
                <w:szCs w:val="24"/>
              </w:rPr>
            </w:pPr>
            <w:r>
              <w:rPr>
                <w:rFonts w:hint="default" w:ascii="仿宋" w:hAnsi="仿宋" w:eastAsia="仿宋"/>
                <w:spacing w:val="-11"/>
                <w:sz w:val="24"/>
                <w:szCs w:val="24"/>
              </w:rPr>
              <w:t>《阳光问廉》作品合格率</w:t>
            </w:r>
          </w:p>
        </w:tc>
        <w:tc>
          <w:tcPr>
            <w:tcW w:w="175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6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项目效益</w:t>
            </w:r>
          </w:p>
        </w:tc>
        <w:tc>
          <w:tcPr>
            <w:tcW w:w="24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社会效益指标</w:t>
            </w:r>
          </w:p>
        </w:tc>
        <w:tc>
          <w:tcPr>
            <w:tcW w:w="269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网站点击增长率</w:t>
            </w:r>
          </w:p>
        </w:tc>
        <w:tc>
          <w:tcPr>
            <w:tcW w:w="175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6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p>
        </w:tc>
        <w:tc>
          <w:tcPr>
            <w:tcW w:w="240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p>
        </w:tc>
        <w:tc>
          <w:tcPr>
            <w:tcW w:w="269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群众关注度</w:t>
            </w:r>
          </w:p>
        </w:tc>
        <w:tc>
          <w:tcPr>
            <w:tcW w:w="175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668"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项目满意度</w:t>
            </w:r>
          </w:p>
        </w:tc>
        <w:tc>
          <w:tcPr>
            <w:tcW w:w="240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满意度指标</w:t>
            </w:r>
          </w:p>
        </w:tc>
        <w:tc>
          <w:tcPr>
            <w:tcW w:w="269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群众满意度</w:t>
            </w:r>
          </w:p>
        </w:tc>
        <w:tc>
          <w:tcPr>
            <w:tcW w:w="175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576" w:lineRule="exact"/>
              <w:jc w:val="center"/>
              <w:rPr>
                <w:rFonts w:hint="default" w:ascii="仿宋" w:hAnsi="仿宋" w:eastAsia="仿宋"/>
                <w:sz w:val="24"/>
                <w:szCs w:val="24"/>
              </w:rPr>
            </w:pPr>
            <w:r>
              <w:rPr>
                <w:rFonts w:hint="default" w:ascii="仿宋" w:hAnsi="仿宋" w:eastAsia="仿宋"/>
                <w:sz w:val="24"/>
                <w:szCs w:val="24"/>
              </w:rPr>
              <w:t>≥80%</w:t>
            </w:r>
          </w:p>
        </w:tc>
      </w:tr>
    </w:tbl>
    <w:p>
      <w:pPr>
        <w:widowControl/>
        <w:snapToGrid w:val="0"/>
        <w:spacing w:line="576" w:lineRule="exact"/>
        <w:ind w:firstLine="640" w:firstLineChars="200"/>
        <w:rPr>
          <w:rFonts w:hint="eastAsia" w:ascii="方正楷体_GBK" w:hAnsi="方正楷体_GBK" w:eastAsia="方正楷体_GBK"/>
          <w:color w:val="FF0000"/>
          <w:sz w:val="32"/>
          <w:szCs w:val="24"/>
          <w:shd w:val="clear" w:color="auto" w:fill="FFFFFF"/>
          <w:lang w:val="zh-CN"/>
        </w:rPr>
      </w:pPr>
      <w:r>
        <w:rPr>
          <w:rFonts w:hint="eastAsia" w:ascii="方正楷体_GBK" w:hAnsi="方正楷体_GBK" w:eastAsia="方正楷体_GBK"/>
          <w:sz w:val="32"/>
          <w:szCs w:val="24"/>
          <w:lang w:val="zh-CN"/>
        </w:rPr>
        <w:t>（三）项目自评步骤及方法</w:t>
      </w:r>
    </w:p>
    <w:p>
      <w:pPr>
        <w:suppressAutoHyphens/>
        <w:spacing w:line="576" w:lineRule="exact"/>
        <w:ind w:firstLine="640" w:firstLineChars="20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1.指标设置方面。</w:t>
      </w:r>
    </w:p>
    <w:p>
      <w:pPr>
        <w:suppressAutoHyphens/>
        <w:spacing w:line="576" w:lineRule="exact"/>
        <w:ind w:firstLine="640" w:firstLineChars="20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结合党风廉政建设和反腐败工作宣传经费特点，充分考虑项目实施背景、总体目标和年度绩效目标等因素，在分析数据获取的难易程度及客观性的基础上，考虑到该项目属于行政运行类项目，具有常规性和延续性的特征，指标设置主要体现在项目完成情况、项目社会效益和项目满意度上。</w:t>
      </w:r>
    </w:p>
    <w:p>
      <w:pPr>
        <w:suppressAutoHyphens/>
        <w:spacing w:line="576" w:lineRule="exact"/>
        <w:ind w:firstLine="640" w:firstLineChars="20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2.主要评价内容。</w:t>
      </w:r>
    </w:p>
    <w:p>
      <w:pPr>
        <w:suppressAutoHyphens/>
        <w:spacing w:line="576" w:lineRule="exact"/>
        <w:ind w:firstLine="640" w:firstLineChars="20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主要针对党风廉政建设和反腐败工作宣传经费的实际情况，从制作《阳光问廉》栏目期数、微信公众号推送信息、网站推送信息、公职人员遵规守纪度、阳光问廉作品合格率、网站点击增长率以及群众满意度提升等方面进行评价。</w:t>
      </w:r>
    </w:p>
    <w:p>
      <w:pPr>
        <w:suppressAutoHyphens/>
        <w:spacing w:line="576" w:lineRule="exact"/>
        <w:ind w:firstLine="640" w:firstLineChars="20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3.评价方法。</w:t>
      </w:r>
    </w:p>
    <w:p>
      <w:pPr>
        <w:suppressAutoHyphens/>
        <w:spacing w:line="576" w:lineRule="exact"/>
        <w:ind w:firstLine="640" w:firstLineChars="20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 xml:space="preserve">采取现场评价为主、非现场评价为辅的方式开展绩效评价工作。查阅和收集项目相关资料以及实施现场评价，通过比较、因素分析等了解项目实施完成情况以及达到的效果。 </w:t>
      </w:r>
    </w:p>
    <w:p>
      <w:pPr>
        <w:snapToGrid w:val="0"/>
        <w:spacing w:line="576" w:lineRule="exact"/>
        <w:ind w:firstLine="720"/>
        <w:rPr>
          <w:rFonts w:hint="eastAsia" w:ascii="方正黑体_GBK" w:hAnsi="方正黑体_GBK" w:eastAsia="方正黑体_GBK"/>
          <w:sz w:val="32"/>
          <w:szCs w:val="24"/>
        </w:rPr>
      </w:pPr>
      <w:r>
        <w:rPr>
          <w:rFonts w:hint="eastAsia" w:ascii="方正黑体_GBK" w:hAnsi="方正黑体_GBK" w:eastAsia="方正黑体_GBK"/>
          <w:sz w:val="32"/>
          <w:szCs w:val="24"/>
        </w:rPr>
        <w:t>二、项目资金申报及使用情况</w:t>
      </w:r>
    </w:p>
    <w:p>
      <w:pPr>
        <w:snapToGrid w:val="0"/>
        <w:spacing w:line="576" w:lineRule="exact"/>
        <w:ind w:firstLine="720"/>
        <w:rPr>
          <w:rFonts w:hint="eastAsia" w:ascii="方正楷体_GBK" w:hAnsi="方正楷体_GBK" w:eastAsia="方正楷体_GBK"/>
          <w:sz w:val="32"/>
          <w:szCs w:val="24"/>
          <w:lang w:val="zh-CN"/>
        </w:rPr>
      </w:pPr>
      <w:r>
        <w:rPr>
          <w:rFonts w:hint="eastAsia" w:ascii="方正楷体_GBK" w:hAnsi="方正楷体_GBK" w:eastAsia="方正楷体_GBK"/>
          <w:sz w:val="32"/>
          <w:szCs w:val="24"/>
          <w:lang w:val="zh-CN"/>
        </w:rPr>
        <w:t>（一）项目资金申报及批复情况</w:t>
      </w:r>
    </w:p>
    <w:p>
      <w:pPr>
        <w:suppressAutoHyphens/>
        <w:spacing w:line="576" w:lineRule="exact"/>
        <w:ind w:firstLine="640" w:firstLineChars="20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市纪委监委机关202</w:t>
      </w:r>
      <w:r>
        <w:rPr>
          <w:rFonts w:hint="eastAsia" w:ascii="仿宋_GB2312" w:hAnsi="仿宋_GB2312" w:eastAsia="仿宋_GB2312"/>
          <w:sz w:val="32"/>
          <w:szCs w:val="24"/>
        </w:rPr>
        <w:t>2</w:t>
      </w:r>
      <w:r>
        <w:rPr>
          <w:rFonts w:hint="eastAsia" w:ascii="仿宋_GB2312" w:hAnsi="仿宋_GB2312" w:eastAsia="仿宋_GB2312"/>
          <w:sz w:val="32"/>
          <w:szCs w:val="24"/>
          <w:lang w:val="zh-CN"/>
        </w:rPr>
        <w:t>年党风廉政建设和反腐败工作宣传经费属常规性、延续性项目，结合党风廉政建设和反腐败工作宣传经费使用情况，年初列入预算</w:t>
      </w:r>
      <w:r>
        <w:rPr>
          <w:rFonts w:hint="eastAsia" w:ascii="仿宋_GB2312" w:hAnsi="仿宋_GB2312" w:eastAsia="仿宋_GB2312"/>
          <w:sz w:val="32"/>
          <w:szCs w:val="24"/>
        </w:rPr>
        <w:t>350</w:t>
      </w:r>
      <w:r>
        <w:rPr>
          <w:rFonts w:hint="eastAsia" w:ascii="仿宋_GB2312" w:hAnsi="仿宋_GB2312" w:eastAsia="仿宋_GB2312"/>
          <w:sz w:val="32"/>
          <w:szCs w:val="24"/>
          <w:lang w:val="zh-CN"/>
        </w:rPr>
        <w:t>万元，经市人大批复后由市财政局下达。年终调整预算为</w:t>
      </w:r>
      <w:r>
        <w:rPr>
          <w:rFonts w:hint="eastAsia" w:ascii="仿宋_GB2312" w:hAnsi="仿宋_GB2312" w:eastAsia="仿宋_GB2312"/>
          <w:sz w:val="32"/>
          <w:szCs w:val="24"/>
        </w:rPr>
        <w:t>216.21万元</w:t>
      </w:r>
      <w:r>
        <w:rPr>
          <w:rFonts w:hint="eastAsia" w:ascii="仿宋_GB2312" w:hAnsi="仿宋_GB2312" w:eastAsia="仿宋_GB2312"/>
          <w:sz w:val="32"/>
          <w:szCs w:val="24"/>
          <w:lang w:val="zh-CN"/>
        </w:rPr>
        <w:t>。</w:t>
      </w:r>
    </w:p>
    <w:p>
      <w:pPr>
        <w:snapToGrid w:val="0"/>
        <w:spacing w:line="576" w:lineRule="exact"/>
        <w:ind w:firstLine="720"/>
        <w:rPr>
          <w:rFonts w:hint="eastAsia" w:ascii="方正楷体_GBK" w:hAnsi="方正楷体_GBK" w:eastAsia="方正楷体_GBK"/>
          <w:sz w:val="32"/>
          <w:szCs w:val="24"/>
          <w:lang w:val="zh-CN"/>
        </w:rPr>
      </w:pPr>
      <w:r>
        <w:rPr>
          <w:rFonts w:hint="eastAsia" w:ascii="方正楷体_GBK" w:hAnsi="方正楷体_GBK" w:eastAsia="方正楷体_GBK"/>
          <w:sz w:val="32"/>
          <w:szCs w:val="24"/>
          <w:lang w:val="zh-CN"/>
        </w:rPr>
        <w:t>（二）资金计划、到位及使用情况</w:t>
      </w:r>
    </w:p>
    <w:p>
      <w:pPr>
        <w:suppressAutoHyphens/>
        <w:spacing w:line="576" w:lineRule="exact"/>
        <w:ind w:firstLine="640" w:firstLineChars="20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1．资金计划。市财政局下达市纪委监委机关党风廉政建设和反腐败工作宣传经费</w:t>
      </w:r>
      <w:r>
        <w:rPr>
          <w:rFonts w:hint="eastAsia" w:ascii="仿宋_GB2312" w:hAnsi="仿宋_GB2312" w:eastAsia="仿宋_GB2312"/>
          <w:sz w:val="32"/>
          <w:szCs w:val="24"/>
        </w:rPr>
        <w:t>350</w:t>
      </w:r>
      <w:r>
        <w:rPr>
          <w:rFonts w:hint="eastAsia" w:ascii="仿宋_GB2312" w:hAnsi="仿宋_GB2312" w:eastAsia="仿宋_GB2312"/>
          <w:sz w:val="32"/>
          <w:szCs w:val="24"/>
          <w:lang w:val="zh-CN"/>
        </w:rPr>
        <w:t>万元，主要用于各种形式宣传支出以及“阳光问廉”栏目的制作。</w:t>
      </w:r>
    </w:p>
    <w:p>
      <w:pPr>
        <w:suppressAutoHyphens/>
        <w:spacing w:line="576" w:lineRule="exact"/>
        <w:ind w:firstLine="640" w:firstLineChars="20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2．资金到位。202</w:t>
      </w:r>
      <w:r>
        <w:rPr>
          <w:rFonts w:hint="eastAsia" w:ascii="仿宋_GB2312" w:hAnsi="仿宋_GB2312" w:eastAsia="仿宋_GB2312"/>
          <w:sz w:val="32"/>
          <w:szCs w:val="24"/>
        </w:rPr>
        <w:t>2</w:t>
      </w:r>
      <w:r>
        <w:rPr>
          <w:rFonts w:hint="eastAsia" w:ascii="仿宋_GB2312" w:hAnsi="仿宋_GB2312" w:eastAsia="仿宋_GB2312"/>
          <w:sz w:val="32"/>
          <w:szCs w:val="24"/>
          <w:lang w:val="zh-CN"/>
        </w:rPr>
        <w:t>年度党风廉政建设和反腐败工作宣传经费实际到位</w:t>
      </w:r>
      <w:r>
        <w:rPr>
          <w:rFonts w:hint="eastAsia" w:ascii="仿宋_GB2312" w:hAnsi="仿宋_GB2312" w:eastAsia="仿宋_GB2312"/>
          <w:sz w:val="32"/>
          <w:szCs w:val="24"/>
        </w:rPr>
        <w:t>216.21</w:t>
      </w:r>
      <w:r>
        <w:rPr>
          <w:rFonts w:hint="eastAsia" w:ascii="仿宋_GB2312" w:hAnsi="仿宋_GB2312" w:eastAsia="仿宋_GB2312"/>
          <w:sz w:val="32"/>
          <w:szCs w:val="24"/>
          <w:lang w:val="zh-CN"/>
        </w:rPr>
        <w:t>万元。</w:t>
      </w:r>
    </w:p>
    <w:p>
      <w:pPr>
        <w:suppressAutoHyphens/>
        <w:spacing w:line="576" w:lineRule="exact"/>
        <w:ind w:firstLine="640" w:firstLineChars="20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3．资金使用。202</w:t>
      </w:r>
      <w:r>
        <w:rPr>
          <w:rFonts w:hint="eastAsia" w:ascii="仿宋_GB2312" w:hAnsi="仿宋_GB2312" w:eastAsia="仿宋_GB2312"/>
          <w:sz w:val="32"/>
          <w:szCs w:val="24"/>
        </w:rPr>
        <w:t>2</w:t>
      </w:r>
      <w:r>
        <w:rPr>
          <w:rFonts w:hint="eastAsia" w:ascii="仿宋_GB2312" w:hAnsi="仿宋_GB2312" w:eastAsia="仿宋_GB2312"/>
          <w:sz w:val="32"/>
          <w:szCs w:val="24"/>
          <w:lang w:val="zh-CN"/>
        </w:rPr>
        <w:t>年度党风廉政建设和反腐败工作宣传经费累计支出</w:t>
      </w:r>
      <w:r>
        <w:rPr>
          <w:rFonts w:hint="eastAsia" w:ascii="仿宋_GB2312" w:hAnsi="仿宋_GB2312" w:eastAsia="仿宋_GB2312"/>
          <w:sz w:val="32"/>
          <w:szCs w:val="24"/>
        </w:rPr>
        <w:t>216.21万</w:t>
      </w:r>
      <w:r>
        <w:rPr>
          <w:rFonts w:hint="eastAsia" w:ascii="仿宋_GB2312" w:hAnsi="仿宋_GB2312" w:eastAsia="仿宋_GB2312"/>
          <w:sz w:val="32"/>
          <w:szCs w:val="24"/>
          <w:lang w:val="zh-CN"/>
        </w:rPr>
        <w:t>元。</w:t>
      </w:r>
    </w:p>
    <w:p>
      <w:pPr>
        <w:snapToGrid w:val="0"/>
        <w:spacing w:line="576" w:lineRule="exact"/>
        <w:ind w:firstLine="720"/>
        <w:rPr>
          <w:rFonts w:hint="eastAsia" w:ascii="方正楷体_GBK" w:hAnsi="方正楷体_GBK" w:eastAsia="方正楷体_GBK"/>
          <w:sz w:val="32"/>
          <w:szCs w:val="24"/>
          <w:lang w:val="zh-CN"/>
        </w:rPr>
      </w:pPr>
      <w:r>
        <w:rPr>
          <w:rFonts w:hint="eastAsia" w:ascii="方正楷体_GBK" w:hAnsi="方正楷体_GBK" w:eastAsia="方正楷体_GBK"/>
          <w:sz w:val="32"/>
          <w:szCs w:val="24"/>
          <w:lang w:val="zh-CN"/>
        </w:rPr>
        <w:t>（三）项目财务管理情况</w:t>
      </w:r>
    </w:p>
    <w:p>
      <w:pPr>
        <w:pStyle w:val="10"/>
        <w:widowControl/>
        <w:spacing w:beforeAutospacing="0" w:afterAutospacing="0" w:line="576" w:lineRule="exact"/>
        <w:ind w:right="45" w:firstLine="640" w:firstLineChars="200"/>
        <w:jc w:val="both"/>
        <w:rPr>
          <w:rFonts w:hint="eastAsia" w:ascii="仿宋_GB2312" w:hAnsi="仿宋_GB2312" w:eastAsia="仿宋_GB2312"/>
          <w:kern w:val="2"/>
          <w:sz w:val="32"/>
          <w:szCs w:val="24"/>
          <w:lang w:val="zh-CN"/>
        </w:rPr>
      </w:pPr>
      <w:r>
        <w:rPr>
          <w:rFonts w:hint="eastAsia" w:ascii="仿宋_GB2312" w:hAnsi="仿宋_GB2312" w:eastAsia="仿宋_GB2312"/>
          <w:kern w:val="2"/>
          <w:sz w:val="32"/>
          <w:szCs w:val="24"/>
          <w:lang w:val="zh-CN"/>
        </w:rPr>
        <w:t>根据《中华人民共和国预算法》等制度要求，市纪委监委机关对项目实行了国库集中支付，资金支出严格依据相关财务制度和预算标准执行，资金使用合法合规，财务信息真实完整，坚持了厉行节约，不存在资金截留、挤占和挪用现象。</w:t>
      </w:r>
    </w:p>
    <w:p>
      <w:pPr>
        <w:snapToGrid w:val="0"/>
        <w:spacing w:line="576" w:lineRule="exact"/>
        <w:ind w:firstLine="720"/>
        <w:rPr>
          <w:rFonts w:hint="eastAsia" w:ascii="方正黑体_GBK" w:hAnsi="方正黑体_GBK" w:eastAsia="方正黑体_GBK"/>
          <w:sz w:val="32"/>
          <w:szCs w:val="24"/>
        </w:rPr>
      </w:pPr>
      <w:r>
        <w:rPr>
          <w:rFonts w:hint="eastAsia" w:ascii="方正黑体_GBK" w:hAnsi="方正黑体_GBK" w:eastAsia="方正黑体_GBK"/>
          <w:sz w:val="32"/>
          <w:szCs w:val="24"/>
        </w:rPr>
        <w:t>三、项目实施及管理情况</w:t>
      </w:r>
    </w:p>
    <w:p>
      <w:pPr>
        <w:widowControl/>
        <w:snapToGrid w:val="0"/>
        <w:spacing w:line="576" w:lineRule="exact"/>
        <w:ind w:firstLine="640" w:firstLineChars="20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市纪委监委机关是党风廉政建设和反腐败工作宣传经费的主管部门和实施部门，年初由市纪委监委宣传部、市纪委监委党风政风监督室制定年度计划，市监委留置管理中心统一编制年度预算、汇总年终决算。党风廉政建设和反腐败工作宣传经费主要执行的管理制度包括《中共雅安市纪委机关雅安市监察委员会政府采购业务管理制度》和《委机关财务管理制度（试行）》等，从制度内容来看，基本能满足项目管理需要。根据评价情况看，项目管理和财务管理制度得到了有效、一贯的执行，未发现支出调整手续不完备、验收资料不齐全等方面的问题。</w:t>
      </w:r>
    </w:p>
    <w:p>
      <w:pPr>
        <w:snapToGrid w:val="0"/>
        <w:spacing w:line="576" w:lineRule="exact"/>
        <w:ind w:firstLine="720"/>
        <w:rPr>
          <w:rFonts w:hint="eastAsia" w:ascii="方正黑体_GBK" w:hAnsi="方正黑体_GBK" w:eastAsia="方正黑体_GBK"/>
          <w:sz w:val="32"/>
          <w:szCs w:val="24"/>
          <w:lang w:val="zh-CN"/>
        </w:rPr>
      </w:pPr>
      <w:r>
        <w:rPr>
          <w:rFonts w:hint="eastAsia" w:ascii="方正黑体_GBK" w:hAnsi="方正黑体_GBK" w:eastAsia="方正黑体_GBK"/>
          <w:sz w:val="32"/>
          <w:szCs w:val="24"/>
        </w:rPr>
        <w:t>四、项目绩效情况</w:t>
      </w:r>
      <w:r>
        <w:rPr>
          <w:rFonts w:hint="eastAsia" w:ascii="方正黑体_GBK" w:hAnsi="方正黑体_GBK" w:eastAsia="方正黑体_GBK"/>
          <w:sz w:val="32"/>
          <w:szCs w:val="24"/>
          <w:lang w:val="zh-CN"/>
        </w:rPr>
        <w:tab/>
      </w:r>
    </w:p>
    <w:p>
      <w:pPr>
        <w:snapToGrid w:val="0"/>
        <w:spacing w:line="576" w:lineRule="exact"/>
        <w:ind w:firstLine="720"/>
        <w:rPr>
          <w:rFonts w:hint="eastAsia" w:ascii="方正楷体_GBK" w:hAnsi="方正楷体_GBK" w:eastAsia="方正楷体_GBK"/>
          <w:sz w:val="32"/>
          <w:szCs w:val="24"/>
          <w:lang w:val="zh-CN"/>
        </w:rPr>
      </w:pPr>
      <w:r>
        <w:rPr>
          <w:rFonts w:hint="eastAsia" w:ascii="方正楷体_GBK" w:hAnsi="方正楷体_GBK" w:eastAsia="方正楷体_GBK"/>
          <w:sz w:val="32"/>
          <w:szCs w:val="24"/>
          <w:lang w:val="zh-CN"/>
        </w:rPr>
        <w:t>（一）项目完成情况</w:t>
      </w:r>
    </w:p>
    <w:p>
      <w:pPr>
        <w:widowControl/>
        <w:snapToGrid w:val="0"/>
        <w:spacing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color w:val="auto"/>
          <w:sz w:val="32"/>
          <w:szCs w:val="24"/>
        </w:rPr>
        <w:t>制作播出《阳光问廉》节目4期，持续放大舆论监督作用。创新利用短视频、微漫画、纪录片、VLOG、MV、H5、VR动画等多媒体元素，策划推出《监督在身边》系列VLOG、《小名说纪》《心怡悦纪》等一批接地气、易推广的融媒体产品。策划拍摄制作了《护航“廉洁重建·阳光同行”》《驻村纪检干部说》等13部优质短视频，均在中央纪委国家监委网站、“廉洁四川”网站、微信等中央、省级核心平台重要栏目刊发。拍摄制作《迷失的初心》系列警示教育片，编印制作《忏悔录》警示教育丛</w:t>
      </w:r>
      <w:r>
        <w:rPr>
          <w:rFonts w:hint="eastAsia" w:ascii="仿宋_GB2312" w:hAnsi="仿宋_GB2312" w:eastAsia="仿宋_GB2312"/>
          <w:sz w:val="32"/>
          <w:szCs w:val="24"/>
        </w:rPr>
        <w:t>书，用身边事教育身边人。拍摄制作短视频《他的“家风”遨游天际，划破长空！》全网点击量达120万+。</w:t>
      </w:r>
    </w:p>
    <w:p>
      <w:pPr>
        <w:snapToGrid w:val="0"/>
        <w:spacing w:line="576" w:lineRule="exact"/>
        <w:ind w:firstLine="72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（二）项目效益情况</w:t>
      </w:r>
    </w:p>
    <w:p>
      <w:pPr>
        <w:snapToGrid w:val="0"/>
        <w:spacing w:line="576" w:lineRule="exact"/>
        <w:ind w:firstLine="720"/>
        <w:rPr>
          <w:rFonts w:hint="eastAsia" w:ascii="仿宋_GB2312" w:hAnsi="仿宋_GB2312" w:eastAsia="仿宋_GB2312"/>
          <w:sz w:val="32"/>
          <w:szCs w:val="24"/>
        </w:rPr>
      </w:pPr>
      <w:r>
        <w:rPr>
          <w:rFonts w:hint="eastAsia" w:ascii="仿宋_GB2312" w:hAnsi="仿宋_GB2312" w:eastAsia="仿宋_GB2312"/>
          <w:sz w:val="32"/>
          <w:szCs w:val="24"/>
        </w:rPr>
        <w:t xml:space="preserve">已在中央和省级重要媒体刊发雅安市党风廉政新闻报道、融媒体产品830余条。《＠公职人员：酒后驾车会产生哪些严重后果？》短视频作为“廉洁四川”网站、微信《蜀地清风》栏目的开栏视频，全网累计点击量达760余万次。党风廉政宣传覆盖面和影响力进一步提升。定期对全市纪检监察系统自有网站，微信公众号等媒体进行抽查，撰写网评文章230余篇，上贴、跟帖3500余条，营造积极、正面的网络舆论氛围。“阳光问廉”始终聚焦中心工作，关注民生民情，选取农村人居环境、涉农资金项目、农村生产生活用水等主题，公开揭短亮丑，现场问清问题根源，问出责任担当。2022年，全市党风廉政建设社会评价满意指数全省排名第1位。                                                                                                                                                                                                                                                                                                                                                                                                                                                                                                                                                                                                                                                                                                                                                                                                                                                                                                                                                                                                                                                                                                                                                                                                                                                                                                                                                                                                                                                                                                                                                                                                                                                                                                                                                                                                                                                                                         </w:t>
      </w:r>
    </w:p>
    <w:p>
      <w:pPr>
        <w:snapToGrid w:val="0"/>
        <w:spacing w:line="576" w:lineRule="exact"/>
        <w:ind w:firstLine="720"/>
        <w:rPr>
          <w:rFonts w:hint="eastAsia" w:ascii="方正黑体_GBK" w:hAnsi="方正黑体_GBK" w:eastAsia="方正黑体_GBK"/>
          <w:sz w:val="32"/>
          <w:szCs w:val="24"/>
        </w:rPr>
      </w:pPr>
      <w:r>
        <w:rPr>
          <w:rFonts w:hint="eastAsia" w:ascii="方正黑体_GBK" w:hAnsi="方正黑体_GBK" w:eastAsia="方正黑体_GBK"/>
          <w:sz w:val="32"/>
          <w:szCs w:val="24"/>
        </w:rPr>
        <w:t>五、评价结论及建议</w:t>
      </w:r>
    </w:p>
    <w:p>
      <w:pPr>
        <w:snapToGrid w:val="0"/>
        <w:spacing w:line="576" w:lineRule="exact"/>
        <w:ind w:firstLine="720"/>
        <w:rPr>
          <w:rFonts w:hint="eastAsia" w:ascii="方正楷体_GBK" w:hAnsi="方正楷体_GBK" w:eastAsia="方正楷体_GBK"/>
          <w:sz w:val="32"/>
          <w:szCs w:val="24"/>
          <w:lang w:val="zh-CN"/>
        </w:rPr>
      </w:pPr>
      <w:r>
        <w:rPr>
          <w:rFonts w:hint="eastAsia" w:ascii="方正楷体_GBK" w:hAnsi="方正楷体_GBK" w:eastAsia="方正楷体_GBK"/>
          <w:sz w:val="32"/>
          <w:szCs w:val="24"/>
          <w:lang w:val="zh-CN"/>
        </w:rPr>
        <w:t>（一）评价结论</w:t>
      </w:r>
    </w:p>
    <w:p>
      <w:pPr>
        <w:snapToGrid w:val="0"/>
        <w:spacing w:line="576" w:lineRule="exact"/>
        <w:ind w:firstLine="72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总体来看，党风廉政建设和反腐败工作宣传经费决策程序较严密，规划较合理；资金分配较及时、项目管理较规范；有效提高了党风廉政建设和反腐败工作宣传质效，为全面从严治党向纵深发展提供了思想保证、精神动力和舆论支持。</w:t>
      </w:r>
    </w:p>
    <w:p>
      <w:pPr>
        <w:widowControl/>
        <w:snapToGrid w:val="0"/>
        <w:spacing w:line="576" w:lineRule="exact"/>
        <w:ind w:firstLine="640" w:firstLineChars="200"/>
        <w:rPr>
          <w:rFonts w:hint="eastAsia" w:ascii="方正楷体_GBK" w:hAnsi="方正楷体_GBK" w:eastAsia="方正楷体_GBK"/>
          <w:color w:val="FF0000"/>
          <w:sz w:val="32"/>
          <w:szCs w:val="24"/>
          <w:shd w:val="clear" w:color="auto" w:fill="FFFFFF"/>
          <w:lang w:val="zh-CN"/>
        </w:rPr>
      </w:pPr>
      <w:r>
        <w:rPr>
          <w:rFonts w:hint="eastAsia" w:ascii="方正楷体_GBK" w:hAnsi="方正楷体_GBK" w:eastAsia="方正楷体_GBK"/>
          <w:sz w:val="32"/>
          <w:szCs w:val="24"/>
          <w:lang w:val="zh-CN"/>
        </w:rPr>
        <w:t>（二）存在的问题</w:t>
      </w:r>
    </w:p>
    <w:p>
      <w:pPr>
        <w:snapToGrid w:val="0"/>
        <w:spacing w:line="576" w:lineRule="exact"/>
        <w:ind w:firstLine="720"/>
        <w:rPr>
          <w:rFonts w:hint="eastAsia" w:ascii="仿宋_GB2312" w:hAnsi="仿宋_GB2312" w:eastAsia="仿宋_GB2312"/>
          <w:sz w:val="32"/>
          <w:szCs w:val="24"/>
          <w:lang w:val="zh-CN"/>
        </w:rPr>
      </w:pPr>
      <w:r>
        <w:rPr>
          <w:rFonts w:hint="eastAsia" w:ascii="仿宋_GB2312" w:hAnsi="仿宋_GB2312" w:eastAsia="仿宋_GB2312"/>
          <w:sz w:val="32"/>
          <w:szCs w:val="24"/>
          <w:lang w:val="zh-CN"/>
        </w:rPr>
        <w:t>通过开展绩效自评，在绩效目标编制上需进一步规范，绩效结果运用需进一步的加强。</w:t>
      </w:r>
    </w:p>
    <w:p>
      <w:pPr>
        <w:widowControl/>
        <w:snapToGrid w:val="0"/>
        <w:spacing w:line="576" w:lineRule="exact"/>
        <w:ind w:firstLine="640" w:firstLineChars="200"/>
        <w:rPr>
          <w:rFonts w:hint="eastAsia" w:ascii="方正楷体_GBK" w:hAnsi="方正楷体_GBK" w:eastAsia="方正楷体_GBK"/>
          <w:sz w:val="32"/>
          <w:szCs w:val="24"/>
          <w:lang w:val="zh-CN"/>
        </w:rPr>
      </w:pPr>
      <w:r>
        <w:rPr>
          <w:rFonts w:hint="eastAsia" w:ascii="方正楷体_GBK" w:hAnsi="方正楷体_GBK" w:eastAsia="方正楷体_GBK"/>
          <w:sz w:val="32"/>
          <w:szCs w:val="24"/>
          <w:lang w:val="zh-CN"/>
        </w:rPr>
        <w:t>（三）相关建议</w:t>
      </w:r>
    </w:p>
    <w:p>
      <w:pPr>
        <w:pStyle w:val="10"/>
        <w:widowControl/>
        <w:spacing w:beforeAutospacing="0" w:after="150" w:afterAutospacing="0" w:line="576" w:lineRule="exact"/>
        <w:ind w:right="45" w:firstLine="800" w:firstLineChars="250"/>
        <w:jc w:val="both"/>
        <w:rPr>
          <w:rFonts w:hint="eastAsia" w:ascii="仿宋_GB2312" w:hAnsi="仿宋_GB2312" w:eastAsia="仿宋_GB2312"/>
          <w:kern w:val="2"/>
          <w:sz w:val="32"/>
          <w:szCs w:val="24"/>
          <w:lang w:val="zh-CN"/>
        </w:rPr>
      </w:pPr>
      <w:r>
        <w:rPr>
          <w:rFonts w:hint="eastAsia" w:ascii="仿宋_GB2312" w:hAnsi="仿宋_GB2312" w:eastAsia="仿宋_GB2312"/>
          <w:kern w:val="2"/>
          <w:sz w:val="32"/>
          <w:szCs w:val="24"/>
          <w:lang w:val="zh-CN"/>
        </w:rPr>
        <w:t>市纪委监委机关将严格按照相关要求，落实绩效管理主体责任，督促市纪委监委宣传部扎实开展项目前期调研，收集项目相关数据，突出绩效目标细化量化工作，科学合理编制绩效目标。强化绩效结果应用，提高绩效管理成效。</w:t>
      </w:r>
    </w:p>
    <w:p>
      <w:pPr>
        <w:spacing w:line="400" w:lineRule="exact"/>
        <w:rPr>
          <w:rFonts w:hint="eastAsia" w:ascii="仿宋_GB2312" w:hAnsi="仿宋_GB2312" w:eastAsia="仿宋_GB2312"/>
          <w:sz w:val="32"/>
          <w:szCs w:val="24"/>
        </w:rPr>
      </w:pPr>
    </w:p>
    <w:p>
      <w:pPr>
        <w:keepNext/>
        <w:keepLines/>
        <w:spacing w:line="576" w:lineRule="exact"/>
        <w:jc w:val="center"/>
        <w:rPr>
          <w:rFonts w:hint="default" w:ascii="黑体" w:hAnsi="黑体" w:eastAsia="黑体"/>
          <w:kern w:val="44"/>
          <w:sz w:val="44"/>
          <w:szCs w:val="24"/>
        </w:rPr>
      </w:pPr>
      <w:r>
        <w:rPr>
          <w:rFonts w:hint="default" w:ascii="黑体" w:hAnsi="黑体" w:eastAsia="黑体"/>
          <w:color w:val="000000"/>
          <w:kern w:val="2"/>
          <w:sz w:val="44"/>
          <w:szCs w:val="24"/>
        </w:rPr>
        <w:t>第</w:t>
      </w:r>
      <w:r>
        <w:rPr>
          <w:rFonts w:hint="default" w:ascii="黑体" w:hAnsi="黑体" w:eastAsia="黑体"/>
          <w:kern w:val="44"/>
          <w:sz w:val="44"/>
          <w:szCs w:val="24"/>
        </w:rPr>
        <w:t>五部分 附表</w:t>
      </w:r>
    </w:p>
    <w:p>
      <w:pPr>
        <w:pStyle w:val="5"/>
        <w:keepNext/>
        <w:keepLines/>
        <w:spacing w:before="260" w:after="260" w:line="576" w:lineRule="exact"/>
        <w:ind w:firstLine="640"/>
        <w:jc w:val="both"/>
        <w:rPr>
          <w:rFonts w:hint="default" w:ascii="仿宋" w:hAnsi="仿宋" w:eastAsia="仿宋"/>
          <w:b/>
          <w:color w:val="000000"/>
          <w:kern w:val="2"/>
          <w:sz w:val="32"/>
          <w:szCs w:val="24"/>
        </w:rPr>
      </w:pPr>
      <w:r>
        <w:rPr>
          <w:rFonts w:hint="default" w:ascii="仿宋" w:hAnsi="仿宋" w:eastAsia="仿宋"/>
          <w:color w:val="000000"/>
          <w:kern w:val="2"/>
          <w:sz w:val="32"/>
          <w:szCs w:val="24"/>
        </w:rPr>
        <w:t>一、收</w:t>
      </w:r>
      <w:r>
        <w:rPr>
          <w:rFonts w:hint="default" w:ascii="仿宋" w:hAnsi="仿宋" w:eastAsia="仿宋"/>
          <w:kern w:val="2"/>
          <w:sz w:val="32"/>
          <w:szCs w:val="24"/>
        </w:rPr>
        <w:t>入支出决算总表</w:t>
      </w:r>
    </w:p>
    <w:p>
      <w:pPr>
        <w:pStyle w:val="5"/>
        <w:keepNext/>
        <w:keepLines/>
        <w:spacing w:before="260" w:after="260" w:line="576" w:lineRule="exact"/>
        <w:ind w:firstLine="640"/>
        <w:jc w:val="both"/>
        <w:rPr>
          <w:rFonts w:hint="default" w:ascii="仿宋" w:hAnsi="仿宋" w:eastAsia="仿宋"/>
          <w:b/>
          <w:color w:val="000000"/>
          <w:kern w:val="2"/>
          <w:sz w:val="32"/>
          <w:szCs w:val="24"/>
        </w:rPr>
      </w:pPr>
      <w:r>
        <w:rPr>
          <w:rFonts w:hint="default" w:ascii="仿宋" w:hAnsi="仿宋" w:eastAsia="仿宋"/>
          <w:color w:val="000000"/>
          <w:kern w:val="2"/>
          <w:sz w:val="32"/>
          <w:szCs w:val="24"/>
        </w:rPr>
        <w:t>二、收</w:t>
      </w:r>
      <w:r>
        <w:rPr>
          <w:rFonts w:hint="default" w:ascii="仿宋" w:hAnsi="仿宋" w:eastAsia="仿宋"/>
          <w:kern w:val="2"/>
          <w:sz w:val="32"/>
          <w:szCs w:val="24"/>
        </w:rPr>
        <w:t>入决算表</w:t>
      </w:r>
    </w:p>
    <w:p>
      <w:pPr>
        <w:pStyle w:val="5"/>
        <w:keepNext/>
        <w:keepLines/>
        <w:spacing w:before="260" w:after="260" w:line="576" w:lineRule="exact"/>
        <w:ind w:firstLine="640"/>
        <w:jc w:val="both"/>
        <w:rPr>
          <w:rFonts w:hint="default" w:ascii="仿宋" w:hAnsi="仿宋" w:eastAsia="仿宋"/>
          <w:b/>
          <w:color w:val="000000"/>
          <w:kern w:val="2"/>
          <w:sz w:val="32"/>
          <w:szCs w:val="24"/>
        </w:rPr>
      </w:pPr>
      <w:r>
        <w:rPr>
          <w:rFonts w:hint="default" w:ascii="仿宋" w:hAnsi="仿宋" w:eastAsia="仿宋"/>
          <w:kern w:val="2"/>
          <w:sz w:val="32"/>
          <w:szCs w:val="24"/>
        </w:rPr>
        <w:t>三、</w:t>
      </w:r>
      <w:r>
        <w:rPr>
          <w:rFonts w:hint="default" w:ascii="仿宋" w:hAnsi="仿宋" w:eastAsia="仿宋"/>
          <w:color w:val="000000"/>
          <w:kern w:val="2"/>
          <w:sz w:val="32"/>
          <w:szCs w:val="24"/>
        </w:rPr>
        <w:t>支</w:t>
      </w:r>
      <w:r>
        <w:rPr>
          <w:rFonts w:hint="default" w:ascii="仿宋" w:hAnsi="仿宋" w:eastAsia="仿宋"/>
          <w:kern w:val="2"/>
          <w:sz w:val="32"/>
          <w:szCs w:val="24"/>
        </w:rPr>
        <w:t>出决算表</w:t>
      </w:r>
    </w:p>
    <w:p>
      <w:pPr>
        <w:pStyle w:val="5"/>
        <w:keepNext/>
        <w:keepLines/>
        <w:spacing w:before="260" w:after="260" w:line="576" w:lineRule="exact"/>
        <w:ind w:firstLine="640"/>
        <w:jc w:val="both"/>
        <w:rPr>
          <w:rFonts w:hint="default" w:ascii="仿宋" w:hAnsi="仿宋" w:eastAsia="仿宋"/>
          <w:color w:val="000000"/>
          <w:kern w:val="2"/>
          <w:sz w:val="32"/>
          <w:szCs w:val="24"/>
        </w:rPr>
      </w:pPr>
      <w:r>
        <w:rPr>
          <w:rFonts w:hint="default" w:ascii="仿宋" w:hAnsi="仿宋" w:eastAsia="仿宋"/>
          <w:kern w:val="2"/>
          <w:sz w:val="32"/>
          <w:szCs w:val="24"/>
        </w:rPr>
        <w:t>四、</w:t>
      </w:r>
      <w:r>
        <w:rPr>
          <w:rFonts w:hint="default" w:ascii="仿宋" w:hAnsi="仿宋" w:eastAsia="仿宋"/>
          <w:color w:val="000000"/>
          <w:kern w:val="2"/>
          <w:sz w:val="32"/>
          <w:szCs w:val="24"/>
        </w:rPr>
        <w:t>财</w:t>
      </w:r>
      <w:r>
        <w:rPr>
          <w:rFonts w:hint="default" w:ascii="仿宋" w:hAnsi="仿宋" w:eastAsia="仿宋"/>
          <w:kern w:val="2"/>
          <w:sz w:val="32"/>
          <w:szCs w:val="24"/>
        </w:rPr>
        <w:t>政拨款收入支出决算总表</w:t>
      </w:r>
    </w:p>
    <w:p>
      <w:pPr>
        <w:pStyle w:val="5"/>
        <w:keepNext/>
        <w:keepLines/>
        <w:spacing w:before="260" w:after="260" w:line="576" w:lineRule="exact"/>
        <w:ind w:firstLine="640"/>
        <w:jc w:val="both"/>
        <w:rPr>
          <w:rFonts w:hint="default" w:ascii="仿宋" w:hAnsi="仿宋" w:eastAsia="仿宋"/>
          <w:kern w:val="2"/>
          <w:sz w:val="32"/>
          <w:szCs w:val="24"/>
        </w:rPr>
      </w:pPr>
      <w:r>
        <w:rPr>
          <w:rFonts w:hint="default" w:ascii="仿宋" w:hAnsi="仿宋" w:eastAsia="仿宋"/>
          <w:kern w:val="2"/>
          <w:sz w:val="32"/>
          <w:szCs w:val="24"/>
        </w:rPr>
        <w:t>五、</w:t>
      </w:r>
      <w:r>
        <w:rPr>
          <w:rFonts w:hint="default" w:ascii="仿宋" w:hAnsi="仿宋" w:eastAsia="仿宋"/>
          <w:color w:val="000000"/>
          <w:kern w:val="2"/>
          <w:sz w:val="32"/>
          <w:szCs w:val="24"/>
        </w:rPr>
        <w:t>财</w:t>
      </w:r>
      <w:r>
        <w:rPr>
          <w:rFonts w:hint="default" w:ascii="仿宋" w:hAnsi="仿宋" w:eastAsia="仿宋"/>
          <w:kern w:val="2"/>
          <w:sz w:val="32"/>
          <w:szCs w:val="24"/>
        </w:rPr>
        <w:t>政拨款支出决算明细表</w:t>
      </w:r>
    </w:p>
    <w:p>
      <w:pPr>
        <w:pStyle w:val="5"/>
        <w:keepNext/>
        <w:keepLines/>
        <w:spacing w:before="260" w:after="260" w:line="576" w:lineRule="exact"/>
        <w:ind w:firstLine="640"/>
        <w:jc w:val="both"/>
        <w:rPr>
          <w:rFonts w:hint="default" w:ascii="仿宋" w:hAnsi="仿宋" w:eastAsia="仿宋"/>
          <w:b/>
          <w:color w:val="000000"/>
          <w:kern w:val="2"/>
          <w:sz w:val="32"/>
          <w:szCs w:val="24"/>
        </w:rPr>
      </w:pPr>
      <w:r>
        <w:rPr>
          <w:rFonts w:hint="default" w:ascii="仿宋" w:hAnsi="仿宋" w:eastAsia="仿宋"/>
          <w:kern w:val="2"/>
          <w:sz w:val="32"/>
          <w:szCs w:val="24"/>
        </w:rPr>
        <w:t>六、</w:t>
      </w:r>
      <w:r>
        <w:rPr>
          <w:rFonts w:hint="default" w:ascii="仿宋" w:hAnsi="仿宋" w:eastAsia="仿宋"/>
          <w:color w:val="000000"/>
          <w:kern w:val="2"/>
          <w:sz w:val="32"/>
          <w:szCs w:val="24"/>
        </w:rPr>
        <w:t>一</w:t>
      </w:r>
      <w:r>
        <w:rPr>
          <w:rFonts w:hint="default" w:ascii="仿宋" w:hAnsi="仿宋" w:eastAsia="仿宋"/>
          <w:kern w:val="2"/>
          <w:sz w:val="32"/>
          <w:szCs w:val="24"/>
        </w:rPr>
        <w:t>般公共预算财政拨款支出决算表</w:t>
      </w:r>
    </w:p>
    <w:p>
      <w:pPr>
        <w:pStyle w:val="5"/>
        <w:keepNext/>
        <w:keepLines/>
        <w:spacing w:before="260" w:after="260" w:line="576" w:lineRule="exact"/>
        <w:ind w:firstLine="640"/>
        <w:jc w:val="both"/>
        <w:rPr>
          <w:rFonts w:hint="default" w:ascii="仿宋" w:hAnsi="仿宋" w:eastAsia="仿宋"/>
          <w:b/>
          <w:color w:val="000000"/>
          <w:kern w:val="2"/>
          <w:sz w:val="32"/>
          <w:szCs w:val="24"/>
        </w:rPr>
      </w:pPr>
      <w:r>
        <w:rPr>
          <w:rFonts w:hint="default" w:ascii="仿宋" w:hAnsi="仿宋" w:eastAsia="仿宋"/>
          <w:kern w:val="2"/>
          <w:sz w:val="32"/>
          <w:szCs w:val="24"/>
        </w:rPr>
        <w:t>七、</w:t>
      </w:r>
      <w:r>
        <w:rPr>
          <w:rFonts w:hint="default" w:ascii="仿宋" w:hAnsi="仿宋" w:eastAsia="仿宋"/>
          <w:color w:val="000000"/>
          <w:kern w:val="2"/>
          <w:sz w:val="32"/>
          <w:szCs w:val="24"/>
        </w:rPr>
        <w:t>一</w:t>
      </w:r>
      <w:r>
        <w:rPr>
          <w:rFonts w:hint="default" w:ascii="仿宋" w:hAnsi="仿宋" w:eastAsia="仿宋"/>
          <w:kern w:val="2"/>
          <w:sz w:val="32"/>
          <w:szCs w:val="24"/>
        </w:rPr>
        <w:t>般公共预算财政拨款支出决算明细表</w:t>
      </w:r>
    </w:p>
    <w:p>
      <w:pPr>
        <w:pStyle w:val="5"/>
        <w:keepNext/>
        <w:keepLines/>
        <w:spacing w:before="260" w:after="260" w:line="576" w:lineRule="exact"/>
        <w:ind w:firstLine="640"/>
        <w:jc w:val="both"/>
        <w:rPr>
          <w:rFonts w:hint="default" w:ascii="仿宋" w:hAnsi="仿宋" w:eastAsia="仿宋"/>
          <w:b/>
          <w:color w:val="000000"/>
          <w:kern w:val="2"/>
          <w:sz w:val="32"/>
          <w:szCs w:val="24"/>
        </w:rPr>
      </w:pPr>
      <w:r>
        <w:rPr>
          <w:rFonts w:hint="default" w:ascii="仿宋" w:hAnsi="仿宋" w:eastAsia="仿宋"/>
          <w:kern w:val="2"/>
          <w:sz w:val="32"/>
          <w:szCs w:val="24"/>
        </w:rPr>
        <w:t>八、</w:t>
      </w:r>
      <w:r>
        <w:rPr>
          <w:rFonts w:hint="default" w:ascii="仿宋" w:hAnsi="仿宋" w:eastAsia="仿宋"/>
          <w:color w:val="000000"/>
          <w:kern w:val="2"/>
          <w:sz w:val="32"/>
          <w:szCs w:val="24"/>
        </w:rPr>
        <w:t>一</w:t>
      </w:r>
      <w:r>
        <w:rPr>
          <w:rFonts w:hint="default" w:ascii="仿宋" w:hAnsi="仿宋" w:eastAsia="仿宋"/>
          <w:kern w:val="2"/>
          <w:sz w:val="32"/>
          <w:szCs w:val="24"/>
        </w:rPr>
        <w:t>般公共预算财政拨款基本支出决算表</w:t>
      </w:r>
    </w:p>
    <w:p>
      <w:pPr>
        <w:pStyle w:val="5"/>
        <w:keepNext/>
        <w:keepLines/>
        <w:spacing w:before="260" w:after="260" w:line="576" w:lineRule="exact"/>
        <w:ind w:firstLine="640"/>
        <w:jc w:val="both"/>
        <w:rPr>
          <w:rFonts w:hint="default" w:ascii="仿宋" w:hAnsi="仿宋" w:eastAsia="仿宋"/>
          <w:b/>
          <w:color w:val="000000"/>
          <w:kern w:val="2"/>
          <w:sz w:val="32"/>
          <w:szCs w:val="24"/>
        </w:rPr>
      </w:pPr>
      <w:r>
        <w:rPr>
          <w:rFonts w:hint="default" w:ascii="仿宋" w:hAnsi="仿宋" w:eastAsia="仿宋"/>
          <w:kern w:val="2"/>
          <w:sz w:val="32"/>
          <w:szCs w:val="24"/>
        </w:rPr>
        <w:t>九、</w:t>
      </w:r>
      <w:r>
        <w:rPr>
          <w:rFonts w:hint="default" w:ascii="仿宋" w:hAnsi="仿宋" w:eastAsia="仿宋"/>
          <w:color w:val="000000"/>
          <w:kern w:val="2"/>
          <w:sz w:val="32"/>
          <w:szCs w:val="24"/>
        </w:rPr>
        <w:t>一</w:t>
      </w:r>
      <w:r>
        <w:rPr>
          <w:rFonts w:hint="default" w:ascii="仿宋" w:hAnsi="仿宋" w:eastAsia="仿宋"/>
          <w:kern w:val="2"/>
          <w:sz w:val="32"/>
          <w:szCs w:val="24"/>
        </w:rPr>
        <w:t>般公共预算财政拨款项目支出决算表</w:t>
      </w:r>
    </w:p>
    <w:p>
      <w:pPr>
        <w:pStyle w:val="5"/>
        <w:keepNext/>
        <w:keepLines/>
        <w:spacing w:before="260" w:after="260" w:line="576" w:lineRule="exact"/>
        <w:ind w:firstLine="640"/>
        <w:jc w:val="both"/>
        <w:rPr>
          <w:rFonts w:hint="default" w:ascii="仿宋" w:hAnsi="仿宋" w:eastAsia="仿宋"/>
          <w:b/>
          <w:color w:val="000000"/>
          <w:kern w:val="2"/>
          <w:sz w:val="32"/>
          <w:szCs w:val="24"/>
        </w:rPr>
      </w:pPr>
      <w:r>
        <w:rPr>
          <w:rFonts w:hint="default" w:ascii="仿宋" w:hAnsi="仿宋" w:eastAsia="仿宋"/>
          <w:kern w:val="2"/>
          <w:sz w:val="32"/>
          <w:szCs w:val="24"/>
        </w:rPr>
        <w:t>十、</w:t>
      </w:r>
      <w:r>
        <w:rPr>
          <w:rFonts w:hint="default" w:ascii="仿宋" w:hAnsi="仿宋" w:eastAsia="仿宋"/>
          <w:color w:val="000000"/>
          <w:kern w:val="2"/>
          <w:sz w:val="32"/>
          <w:szCs w:val="24"/>
        </w:rPr>
        <w:t>政</w:t>
      </w:r>
      <w:r>
        <w:rPr>
          <w:rFonts w:hint="default" w:ascii="仿宋" w:hAnsi="仿宋" w:eastAsia="仿宋"/>
          <w:kern w:val="2"/>
          <w:sz w:val="32"/>
          <w:szCs w:val="24"/>
        </w:rPr>
        <w:t>府性基金预算财政拨款收入支出决算表</w:t>
      </w:r>
    </w:p>
    <w:p>
      <w:pPr>
        <w:pStyle w:val="5"/>
        <w:keepNext/>
        <w:keepLines/>
        <w:spacing w:before="260" w:after="260" w:line="576" w:lineRule="exact"/>
        <w:ind w:firstLine="640"/>
        <w:jc w:val="both"/>
        <w:rPr>
          <w:rFonts w:hint="default" w:ascii="仿宋" w:hAnsi="仿宋" w:eastAsia="仿宋"/>
          <w:b/>
          <w:color w:val="000000"/>
          <w:kern w:val="2"/>
          <w:sz w:val="32"/>
          <w:szCs w:val="24"/>
        </w:rPr>
      </w:pPr>
      <w:r>
        <w:rPr>
          <w:rFonts w:hint="default" w:ascii="仿宋" w:hAnsi="仿宋" w:eastAsia="仿宋"/>
          <w:kern w:val="2"/>
          <w:sz w:val="32"/>
          <w:szCs w:val="24"/>
        </w:rPr>
        <w:t>十一、</w:t>
      </w:r>
      <w:r>
        <w:rPr>
          <w:rFonts w:hint="default" w:ascii="仿宋" w:hAnsi="仿宋" w:eastAsia="仿宋"/>
          <w:color w:val="000000"/>
          <w:kern w:val="2"/>
          <w:sz w:val="32"/>
          <w:szCs w:val="24"/>
        </w:rPr>
        <w:t>国</w:t>
      </w:r>
      <w:r>
        <w:rPr>
          <w:rFonts w:hint="default" w:ascii="仿宋" w:hAnsi="仿宋" w:eastAsia="仿宋"/>
          <w:kern w:val="2"/>
          <w:sz w:val="32"/>
          <w:szCs w:val="24"/>
        </w:rPr>
        <w:t>有资本经营预算财政拨款收入支出决算表</w:t>
      </w:r>
    </w:p>
    <w:p>
      <w:pPr>
        <w:pStyle w:val="5"/>
        <w:keepNext/>
        <w:keepLines/>
        <w:spacing w:before="260" w:after="260" w:line="576" w:lineRule="exact"/>
        <w:ind w:firstLine="640"/>
        <w:jc w:val="both"/>
        <w:rPr>
          <w:rFonts w:hint="default" w:ascii="仿宋" w:hAnsi="仿宋" w:eastAsia="仿宋"/>
          <w:kern w:val="2"/>
          <w:sz w:val="32"/>
          <w:szCs w:val="24"/>
        </w:rPr>
      </w:pPr>
      <w:r>
        <w:rPr>
          <w:rFonts w:hint="default" w:ascii="仿宋" w:hAnsi="仿宋" w:eastAsia="仿宋"/>
          <w:kern w:val="2"/>
          <w:sz w:val="32"/>
          <w:szCs w:val="24"/>
        </w:rPr>
        <w:t>十二、</w:t>
      </w:r>
      <w:r>
        <w:rPr>
          <w:rFonts w:hint="default" w:ascii="仿宋" w:hAnsi="仿宋" w:eastAsia="仿宋"/>
          <w:color w:val="000000"/>
          <w:kern w:val="2"/>
          <w:sz w:val="32"/>
          <w:szCs w:val="24"/>
        </w:rPr>
        <w:t>国</w:t>
      </w:r>
      <w:r>
        <w:rPr>
          <w:rFonts w:hint="default" w:ascii="仿宋" w:hAnsi="仿宋" w:eastAsia="仿宋"/>
          <w:kern w:val="2"/>
          <w:sz w:val="32"/>
          <w:szCs w:val="24"/>
        </w:rPr>
        <w:t>有资本经营预算财政拨款支出决算表</w:t>
      </w:r>
    </w:p>
    <w:p>
      <w:pPr>
        <w:pStyle w:val="5"/>
        <w:keepNext/>
        <w:keepLines/>
        <w:spacing w:before="260" w:after="260" w:line="576" w:lineRule="exact"/>
        <w:ind w:firstLine="640"/>
        <w:jc w:val="both"/>
        <w:rPr>
          <w:rFonts w:hint="eastAsia" w:hAnsi="仿宋_GB2312"/>
          <w:color w:val="FF0000"/>
          <w:kern w:val="2"/>
          <w:sz w:val="32"/>
          <w:szCs w:val="24"/>
        </w:rPr>
      </w:pPr>
      <w:r>
        <w:rPr>
          <w:rFonts w:hint="default" w:ascii="仿宋" w:hAnsi="仿宋" w:eastAsia="仿宋"/>
          <w:kern w:val="2"/>
          <w:sz w:val="32"/>
          <w:szCs w:val="24"/>
        </w:rPr>
        <w:t>十三、财政拨款“三公”经费支出决算表</w:t>
      </w:r>
    </w:p>
    <w:p>
      <w:pPr>
        <w:pStyle w:val="2"/>
        <w:autoSpaceDE/>
        <w:autoSpaceDN/>
        <w:spacing w:line="560" w:lineRule="exact"/>
        <w:ind w:left="480" w:firstLine="641"/>
        <w:rPr>
          <w:rFonts w:hint="eastAsia" w:hAnsi="仿宋_GB2312"/>
          <w:color w:val="FF0000"/>
          <w:kern w:val="2"/>
          <w:sz w:val="32"/>
          <w:szCs w:val="24"/>
        </w:rPr>
      </w:pPr>
    </w:p>
    <w:p>
      <w:pPr>
        <w:spacing w:before="93" w:line="576" w:lineRule="exact"/>
        <w:jc w:val="both"/>
        <w:rPr>
          <w:rFonts w:hint="default" w:ascii="华文中宋" w:hAnsi="华文中宋" w:eastAsia="华文中宋"/>
          <w:kern w:val="2"/>
          <w:sz w:val="36"/>
          <w:szCs w:val="24"/>
        </w:rPr>
      </w:pPr>
    </w:p>
    <w:sectPr>
      <w:footerReference r:id="rId3" w:type="default"/>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鏂囨湰妗?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14"/>
                              <w:rFonts w:hint="default"/>
                              <w:sz w:val="18"/>
                              <w:szCs w:val="24"/>
                            </w:rPr>
                          </w:pPr>
                          <w:r>
                            <w:rPr>
                              <w:rStyle w:val="14"/>
                              <w:rFonts w:hint="eastAsia" w:ascii="宋体" w:eastAsia="宋体"/>
                              <w:sz w:val="18"/>
                              <w:szCs w:val="24"/>
                            </w:rPr>
                            <w:fldChar w:fldCharType="begin"/>
                          </w:r>
                          <w:r>
                            <w:rPr>
                              <w:rStyle w:val="14"/>
                              <w:rFonts w:hint="eastAsia" w:ascii="宋体" w:eastAsia="宋体"/>
                              <w:sz w:val="18"/>
                              <w:szCs w:val="24"/>
                            </w:rPr>
                            <w:instrText xml:space="preserve">PAGE  </w:instrText>
                          </w:r>
                          <w:r>
                            <w:rPr>
                              <w:rStyle w:val="14"/>
                              <w:rFonts w:hint="eastAsia" w:ascii="宋体" w:eastAsia="宋体"/>
                              <w:sz w:val="18"/>
                              <w:szCs w:val="24"/>
                            </w:rPr>
                            <w:fldChar w:fldCharType="separate"/>
                          </w:r>
                          <w:r>
                            <w:rPr>
                              <w:rStyle w:val="14"/>
                              <w:rFonts w:hint="eastAsia" w:ascii="宋体" w:eastAsia="宋体"/>
                              <w:sz w:val="18"/>
                              <w:szCs w:val="24"/>
                            </w:rPr>
                            <w:t>9</w:t>
                          </w:r>
                          <w:r>
                            <w:rPr>
                              <w:rStyle w:val="14"/>
                              <w:rFonts w:hint="eastAsia" w:ascii="宋体" w:eastAsia="宋体"/>
                              <w:sz w:val="18"/>
                              <w:szCs w:val="24"/>
                            </w:rPr>
                            <w:fldChar w:fldCharType="end"/>
                          </w:r>
                        </w:p>
                      </w:txbxContent>
                    </wps:txbx>
                    <wps:bodyPr vert="horz" wrap="none" lIns="0" tIns="0" rIns="0" bIns="0" anchor="t" anchorCtr="0" upright="1">
                      <a:spAutoFit/>
                    </wps:bodyPr>
                  </wps:wsp>
                </a:graphicData>
              </a:graphic>
            </wp:anchor>
          </w:drawing>
        </mc:Choice>
        <mc:Fallback>
          <w:pict>
            <v:shape id="鏂囨湰妗?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DBSOYT5AEAAMEDAAAO&#10;AAAAAAAAAAEAIAAAAB4BAABkcnMvZTJvRG9jLnhtbFBLBQYAAAAABgAGAFkBAAB0BQAAAAA=&#10;">
              <v:fill on="f" focussize="0,0"/>
              <v:stroke on="f"/>
              <v:imagedata o:title=""/>
              <o:lock v:ext="edit" aspectratio="f"/>
              <v:textbox inset="0mm,0mm,0mm,0mm" style="mso-fit-shape-to-text:t;">
                <w:txbxContent>
                  <w:p>
                    <w:pPr>
                      <w:pStyle w:val="8"/>
                      <w:rPr>
                        <w:rStyle w:val="14"/>
                        <w:rFonts w:hint="default"/>
                        <w:sz w:val="18"/>
                        <w:szCs w:val="24"/>
                      </w:rPr>
                    </w:pPr>
                    <w:r>
                      <w:rPr>
                        <w:rStyle w:val="14"/>
                        <w:rFonts w:hint="eastAsia" w:ascii="宋体" w:eastAsia="宋体"/>
                        <w:sz w:val="18"/>
                        <w:szCs w:val="24"/>
                      </w:rPr>
                      <w:fldChar w:fldCharType="begin"/>
                    </w:r>
                    <w:r>
                      <w:rPr>
                        <w:rStyle w:val="14"/>
                        <w:rFonts w:hint="eastAsia" w:ascii="宋体" w:eastAsia="宋体"/>
                        <w:sz w:val="18"/>
                        <w:szCs w:val="24"/>
                      </w:rPr>
                      <w:instrText xml:space="preserve">PAGE  </w:instrText>
                    </w:r>
                    <w:r>
                      <w:rPr>
                        <w:rStyle w:val="14"/>
                        <w:rFonts w:hint="eastAsia" w:ascii="宋体" w:eastAsia="宋体"/>
                        <w:sz w:val="18"/>
                        <w:szCs w:val="24"/>
                      </w:rPr>
                      <w:fldChar w:fldCharType="separate"/>
                    </w:r>
                    <w:r>
                      <w:rPr>
                        <w:rStyle w:val="14"/>
                        <w:rFonts w:hint="eastAsia" w:ascii="宋体" w:eastAsia="宋体"/>
                        <w:sz w:val="18"/>
                        <w:szCs w:val="24"/>
                      </w:rPr>
                      <w:t>9</w:t>
                    </w:r>
                    <w:r>
                      <w:rPr>
                        <w:rStyle w:val="14"/>
                        <w:rFonts w:hint="eastAsia" w:ascii="宋体" w:eastAsia="宋体"/>
                        <w:sz w:val="18"/>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C156"/>
    <w:multiLevelType w:val="multilevel"/>
    <w:tmpl w:val="96F3C156"/>
    <w:lvl w:ilvl="0" w:tentative="0">
      <w:start w:val="2"/>
      <w:numFmt w:val="chineseCounting"/>
      <w:suff w:val="nothing"/>
      <w:lvlText w:val="锛%64"/>
      <w:lvlJc w:val="left"/>
      <w:rPr>
        <w:rFonts w:hint="default" w:ascii="Times New Roman" w:hAnsi="Times New Roman" w:eastAsia="宋体"/>
        <w:u w:val="none" w:color="auto"/>
      </w:rPr>
    </w:lvl>
    <w:lvl w:ilvl="1" w:tentative="0">
      <w:start w:val="1"/>
      <w:numFmt w:val="decimal"/>
      <w:lvlText w:val="锛"/>
      <w:lvlJc w:val="left"/>
      <w:rPr>
        <w:rFonts w:hint="default" w:ascii="Times New Roman" w:hAnsi="Times New Roman" w:eastAsia="宋体"/>
        <w:u w:val="none" w:color="auto"/>
      </w:rPr>
    </w:lvl>
    <w:lvl w:ilvl="2" w:tentative="0">
      <w:start w:val="1"/>
      <w:numFmt w:val="decimal"/>
      <w:lvlText w:val="锛"/>
      <w:lvlJc w:val="left"/>
      <w:rPr>
        <w:rFonts w:hint="default" w:ascii="Times New Roman" w:hAnsi="Times New Roman" w:eastAsia="宋体"/>
        <w:u w:val="none" w:color="auto"/>
      </w:rPr>
    </w:lvl>
    <w:lvl w:ilvl="3" w:tentative="0">
      <w:start w:val="1"/>
      <w:numFmt w:val="decimal"/>
      <w:lvlText w:val="锛"/>
      <w:lvlJc w:val="left"/>
      <w:rPr>
        <w:rFonts w:hint="default" w:ascii="Times New Roman" w:hAnsi="Times New Roman" w:eastAsia="宋体"/>
        <w:u w:val="none" w:color="auto"/>
      </w:rPr>
    </w:lvl>
    <w:lvl w:ilvl="4" w:tentative="0">
      <w:start w:val="1"/>
      <w:numFmt w:val="decimal"/>
      <w:lvlText w:val="锛"/>
      <w:lvlJc w:val="left"/>
      <w:rPr>
        <w:rFonts w:hint="default" w:ascii="Times New Roman" w:hAnsi="Times New Roman" w:eastAsia="宋体"/>
        <w:u w:val="none" w:color="auto"/>
      </w:rPr>
    </w:lvl>
    <w:lvl w:ilvl="5" w:tentative="0">
      <w:start w:val="1"/>
      <w:numFmt w:val="decimal"/>
      <w:lvlText w:val="锛"/>
      <w:lvlJc w:val="left"/>
      <w:rPr>
        <w:rFonts w:hint="default" w:ascii="Times New Roman" w:hAnsi="Times New Roman" w:eastAsia="宋体"/>
        <w:u w:val="none" w:color="auto"/>
      </w:rPr>
    </w:lvl>
    <w:lvl w:ilvl="6" w:tentative="0">
      <w:start w:val="1"/>
      <w:numFmt w:val="decimal"/>
      <w:lvlText w:val="锛"/>
      <w:lvlJc w:val="left"/>
      <w:rPr>
        <w:rFonts w:hint="default" w:ascii="Times New Roman" w:hAnsi="Times New Roman" w:eastAsia="宋体"/>
        <w:u w:val="none" w:color="auto"/>
      </w:rPr>
    </w:lvl>
    <w:lvl w:ilvl="7" w:tentative="0">
      <w:start w:val="1"/>
      <w:numFmt w:val="decimal"/>
      <w:lvlText w:val="锛"/>
      <w:lvlJc w:val="left"/>
      <w:rPr>
        <w:rFonts w:hint="default" w:ascii="Times New Roman" w:hAnsi="Times New Roman" w:eastAsia="宋体"/>
        <w:u w:val="none" w:color="auto"/>
      </w:rPr>
    </w:lvl>
    <w:lvl w:ilvl="8" w:tentative="0">
      <w:start w:val="1"/>
      <w:numFmt w:val="decimal"/>
      <w:lvlText w:val="锛"/>
      <w:lvlJc w:val="left"/>
      <w:rPr>
        <w:rFonts w:hint="default" w:ascii="Times New Roman" w:hAnsi="Times New Roman" w:eastAsia="宋体"/>
        <w:u w:val="none" w:color="auto"/>
      </w:rPr>
    </w:lvl>
  </w:abstractNum>
  <w:abstractNum w:abstractNumId="1">
    <w:nsid w:val="EEC6D76E"/>
    <w:multiLevelType w:val="multilevel"/>
    <w:tmpl w:val="EEC6D76E"/>
    <w:lvl w:ilvl="0" w:tentative="0">
      <w:start w:val="5"/>
      <w:numFmt w:val="chineseCounting"/>
      <w:suff w:val="nothing"/>
      <w:lvlText w:val="%1銆"/>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0F1FB11F"/>
    <w:multiLevelType w:val="multilevel"/>
    <w:tmpl w:val="0F1FB11F"/>
    <w:lvl w:ilvl="0" w:tentative="0">
      <w:start w:val="1"/>
      <w:numFmt w:val="chineseCounting"/>
      <w:suff w:val="nothing"/>
      <w:lvlText w:val="锛%64"/>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3">
    <w:nsid w:val="123229E0"/>
    <w:multiLevelType w:val="multilevel"/>
    <w:tmpl w:val="123229E0"/>
    <w:lvl w:ilvl="0" w:tentative="0">
      <w:start w:val="1"/>
      <w:numFmt w:val="decimal"/>
      <w:lvlText w:val="%1."/>
      <w:lvlJc w:val="left"/>
      <w:pPr>
        <w:tabs>
          <w:tab w:val="left" w:pos="1000"/>
        </w:tabs>
        <w:ind w:left="1000" w:hanging="360"/>
      </w:pPr>
      <w:rPr>
        <w:rFonts w:hint="default" w:ascii="Times New Roman" w:hAnsi="Times New Roman" w:eastAsia="宋体"/>
        <w:u w:val="none" w:color="auto"/>
      </w:rPr>
    </w:lvl>
    <w:lvl w:ilvl="1" w:tentative="0">
      <w:start w:val="1"/>
      <w:numFmt w:val="lowerLetter"/>
      <w:lvlText w:val="%2)"/>
      <w:lvlJc w:val="left"/>
      <w:pPr>
        <w:tabs>
          <w:tab w:val="left" w:pos="1480"/>
        </w:tabs>
        <w:ind w:left="1480" w:hanging="420"/>
      </w:pPr>
      <w:rPr>
        <w:rFonts w:hint="default" w:ascii="Times New Roman" w:hAnsi="Times New Roman" w:eastAsia="宋体"/>
        <w:u w:val="none" w:color="auto"/>
      </w:rPr>
    </w:lvl>
    <w:lvl w:ilvl="2" w:tentative="0">
      <w:start w:val="1"/>
      <w:numFmt w:val="lowerRoman"/>
      <w:lvlText w:val="%3."/>
      <w:lvlJc w:val="right"/>
      <w:pPr>
        <w:tabs>
          <w:tab w:val="left" w:pos="1900"/>
        </w:tabs>
        <w:ind w:left="1900" w:hanging="420"/>
      </w:pPr>
      <w:rPr>
        <w:rFonts w:hint="default" w:ascii="Times New Roman" w:hAnsi="Times New Roman" w:eastAsia="宋体"/>
        <w:u w:val="none" w:color="auto"/>
      </w:rPr>
    </w:lvl>
    <w:lvl w:ilvl="3" w:tentative="0">
      <w:start w:val="1"/>
      <w:numFmt w:val="decimal"/>
      <w:lvlText w:val="%4."/>
      <w:lvlJc w:val="left"/>
      <w:pPr>
        <w:tabs>
          <w:tab w:val="left" w:pos="2320"/>
        </w:tabs>
        <w:ind w:left="2320" w:hanging="420"/>
      </w:pPr>
      <w:rPr>
        <w:rFonts w:hint="default" w:ascii="Times New Roman" w:hAnsi="Times New Roman" w:eastAsia="宋体"/>
        <w:u w:val="none" w:color="auto"/>
      </w:rPr>
    </w:lvl>
    <w:lvl w:ilvl="4" w:tentative="0">
      <w:start w:val="1"/>
      <w:numFmt w:val="lowerLetter"/>
      <w:lvlText w:val="%5)"/>
      <w:lvlJc w:val="left"/>
      <w:pPr>
        <w:tabs>
          <w:tab w:val="left" w:pos="2740"/>
        </w:tabs>
        <w:ind w:left="2740" w:hanging="420"/>
      </w:pPr>
      <w:rPr>
        <w:rFonts w:hint="default" w:ascii="Times New Roman" w:hAnsi="Times New Roman" w:eastAsia="宋体"/>
        <w:u w:val="none" w:color="auto"/>
      </w:rPr>
    </w:lvl>
    <w:lvl w:ilvl="5" w:tentative="0">
      <w:start w:val="1"/>
      <w:numFmt w:val="lowerRoman"/>
      <w:lvlText w:val="%6."/>
      <w:lvlJc w:val="right"/>
      <w:pPr>
        <w:tabs>
          <w:tab w:val="left" w:pos="3160"/>
        </w:tabs>
        <w:ind w:left="3160" w:hanging="420"/>
      </w:pPr>
      <w:rPr>
        <w:rFonts w:hint="default" w:ascii="Times New Roman" w:hAnsi="Times New Roman" w:eastAsia="宋体"/>
        <w:u w:val="none" w:color="auto"/>
      </w:rPr>
    </w:lvl>
    <w:lvl w:ilvl="6" w:tentative="0">
      <w:start w:val="1"/>
      <w:numFmt w:val="decimal"/>
      <w:lvlText w:val="%7."/>
      <w:lvlJc w:val="left"/>
      <w:pPr>
        <w:tabs>
          <w:tab w:val="left" w:pos="3580"/>
        </w:tabs>
        <w:ind w:left="3580" w:hanging="420"/>
      </w:pPr>
      <w:rPr>
        <w:rFonts w:hint="default" w:ascii="Times New Roman" w:hAnsi="Times New Roman" w:eastAsia="宋体"/>
        <w:u w:val="none" w:color="auto"/>
      </w:rPr>
    </w:lvl>
    <w:lvl w:ilvl="7" w:tentative="0">
      <w:start w:val="1"/>
      <w:numFmt w:val="lowerLetter"/>
      <w:lvlText w:val="%8)"/>
      <w:lvlJc w:val="left"/>
      <w:pPr>
        <w:tabs>
          <w:tab w:val="left" w:pos="4000"/>
        </w:tabs>
        <w:ind w:left="4000" w:hanging="420"/>
      </w:pPr>
      <w:rPr>
        <w:rFonts w:hint="default" w:ascii="Times New Roman" w:hAnsi="Times New Roman" w:eastAsia="宋体"/>
        <w:u w:val="none" w:color="auto"/>
      </w:rPr>
    </w:lvl>
    <w:lvl w:ilvl="8" w:tentative="0">
      <w:start w:val="1"/>
      <w:numFmt w:val="lowerRoman"/>
      <w:lvlText w:val="%9."/>
      <w:lvlJc w:val="right"/>
      <w:pPr>
        <w:tabs>
          <w:tab w:val="left" w:pos="4420"/>
        </w:tabs>
        <w:ind w:left="4420" w:hanging="420"/>
      </w:pPr>
      <w:rPr>
        <w:rFonts w:hint="default" w:ascii="Times New Roman" w:hAnsi="Times New Roman" w:eastAsia="宋体"/>
        <w:u w:val="none" w:color="auto"/>
      </w:rPr>
    </w:lvl>
  </w:abstractNum>
  <w:abstractNum w:abstractNumId="4">
    <w:nsid w:val="4F71A877"/>
    <w:multiLevelType w:val="multilevel"/>
    <w:tmpl w:val="4F71A877"/>
    <w:lvl w:ilvl="0" w:tentative="0">
      <w:start w:val="2"/>
      <w:numFmt w:val="chineseCounting"/>
      <w:suff w:val="nothing"/>
      <w:lvlText w:val="锛%64"/>
      <w:lvlJc w:val="left"/>
      <w:rPr>
        <w:rFonts w:hint="default" w:ascii="Times New Roman" w:hAnsi="Times New Roman" w:eastAsia="宋体"/>
        <w:u w:val="none" w:color="auto"/>
      </w:rPr>
    </w:lvl>
    <w:lvl w:ilvl="1" w:tentative="0">
      <w:start w:val="1"/>
      <w:numFmt w:val="decimal"/>
      <w:lvlText w:val="锛"/>
      <w:lvlJc w:val="left"/>
      <w:rPr>
        <w:rFonts w:hint="default" w:ascii="Times New Roman" w:hAnsi="Times New Roman" w:eastAsia="宋体"/>
        <w:u w:val="none" w:color="auto"/>
      </w:rPr>
    </w:lvl>
    <w:lvl w:ilvl="2" w:tentative="0">
      <w:start w:val="1"/>
      <w:numFmt w:val="decimal"/>
      <w:lvlText w:val="锛"/>
      <w:lvlJc w:val="left"/>
      <w:rPr>
        <w:rFonts w:hint="default" w:ascii="Times New Roman" w:hAnsi="Times New Roman" w:eastAsia="宋体"/>
        <w:u w:val="none" w:color="auto"/>
      </w:rPr>
    </w:lvl>
    <w:lvl w:ilvl="3" w:tentative="0">
      <w:start w:val="1"/>
      <w:numFmt w:val="decimal"/>
      <w:lvlText w:val="锛"/>
      <w:lvlJc w:val="left"/>
      <w:rPr>
        <w:rFonts w:hint="default" w:ascii="Times New Roman" w:hAnsi="Times New Roman" w:eastAsia="宋体"/>
        <w:u w:val="none" w:color="auto"/>
      </w:rPr>
    </w:lvl>
    <w:lvl w:ilvl="4" w:tentative="0">
      <w:start w:val="1"/>
      <w:numFmt w:val="decimal"/>
      <w:lvlText w:val="锛"/>
      <w:lvlJc w:val="left"/>
      <w:rPr>
        <w:rFonts w:hint="default" w:ascii="Times New Roman" w:hAnsi="Times New Roman" w:eastAsia="宋体"/>
        <w:u w:val="none" w:color="auto"/>
      </w:rPr>
    </w:lvl>
    <w:lvl w:ilvl="5" w:tentative="0">
      <w:start w:val="1"/>
      <w:numFmt w:val="decimal"/>
      <w:lvlText w:val="锛"/>
      <w:lvlJc w:val="left"/>
      <w:rPr>
        <w:rFonts w:hint="default" w:ascii="Times New Roman" w:hAnsi="Times New Roman" w:eastAsia="宋体"/>
        <w:u w:val="none" w:color="auto"/>
      </w:rPr>
    </w:lvl>
    <w:lvl w:ilvl="6" w:tentative="0">
      <w:start w:val="1"/>
      <w:numFmt w:val="decimal"/>
      <w:lvlText w:val="锛"/>
      <w:lvlJc w:val="left"/>
      <w:rPr>
        <w:rFonts w:hint="default" w:ascii="Times New Roman" w:hAnsi="Times New Roman" w:eastAsia="宋体"/>
        <w:u w:val="none" w:color="auto"/>
      </w:rPr>
    </w:lvl>
    <w:lvl w:ilvl="7" w:tentative="0">
      <w:start w:val="1"/>
      <w:numFmt w:val="decimal"/>
      <w:lvlText w:val="锛"/>
      <w:lvlJc w:val="left"/>
      <w:rPr>
        <w:rFonts w:hint="default" w:ascii="Times New Roman" w:hAnsi="Times New Roman" w:eastAsia="宋体"/>
        <w:u w:val="none" w:color="auto"/>
      </w:rPr>
    </w:lvl>
    <w:lvl w:ilvl="8" w:tentative="0">
      <w:start w:val="1"/>
      <w:numFmt w:val="decimal"/>
      <w:lvlText w:val="锛"/>
      <w:lvlJc w:val="left"/>
      <w:rPr>
        <w:rFonts w:hint="default" w:ascii="Times New Roman" w:hAnsi="Times New Roman" w:eastAsia="宋体"/>
        <w:u w:val="none" w:color="auto"/>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ZGM4NGMwMzg5MWZlZTg3MjhhOTdlMjA3ZTJkNmMifQ=="/>
  </w:docVars>
  <w:rsids>
    <w:rsidRoot w:val="00172A27"/>
    <w:rsid w:val="29464039"/>
    <w:rsid w:val="49874D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ocked="1"/>
    <w:lsdException w:qFormat="1" w:unhideWhenUsed="0" w:uiPriority="0" w:semiHidden="0" w:name="index 2" w:locked="1"/>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ocked="1"/>
    <w:lsdException w:qFormat="1" w:unhideWhenUsed="0" w:uiPriority="0" w:semiHidden="0" w:name="footnote text" w:locked="1"/>
    <w:lsdException w:qFormat="1" w:unhideWhenUsed="0" w:uiPriority="0" w:semiHidden="0" w:name="annotation text" w:locked="1"/>
    <w:lsdException w:qFormat="1" w:uiPriority="99" w:semiHidden="0" w:name="header"/>
    <w:lsdException w:qFormat="1" w:uiPriority="99" w:semiHidden="0" w:name="footer"/>
    <w:lsdException w:qFormat="1" w:unhideWhenUsed="0" w:uiPriority="0" w:semiHidden="0" w:name="index heading" w:locked="1"/>
    <w:lsdException w:qFormat="1" w:unhideWhenUsed="0" w:uiPriority="0" w:semiHidden="0" w:name="caption" w:locked="1"/>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0" w:semiHidden="0" w:name="line number" w:locked="1"/>
    <w:lsdException w:qFormat="1" w:uiPriority="99" w:semiHidden="0" w:name="page number"/>
    <w:lsdException w:qFormat="1" w:unhideWhenUsed="0" w:uiPriority="0" w:semiHidden="0" w:name="endnote reference" w:locked="1"/>
    <w:lsdException w:qFormat="1" w:unhideWhenUsed="0" w:uiPriority="0" w:semiHidden="0" w:name="endnote text" w:locked="1"/>
    <w:lsdException w:qFormat="1" w:unhideWhenUsed="0" w:uiPriority="0"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ocked="1"/>
    <w:lsdException w:qFormat="1" w:unhideWhenUsed="0" w:uiPriority="0" w:semiHidden="0" w:name="List Bullet" w:locked="1"/>
    <w:lsdException w:qFormat="1" w:unhideWhenUsed="0" w:uiPriority="0" w:semiHidden="0" w:name="List Number" w:locked="1"/>
    <w:lsdException w:qFormat="1" w:unhideWhenUsed="0" w:uiPriority="0" w:semiHidden="0" w:name="List 2" w:locked="1"/>
    <w:lsdException w:qFormat="1" w:unhideWhenUsed="0" w:uiPriority="0" w:semiHidden="0" w:name="List 3" w:locked="1"/>
    <w:lsdException w:qFormat="1" w:unhideWhenUsed="0" w:uiPriority="0" w:semiHidden="0" w:name="List 4" w:locked="1"/>
    <w:lsdException w:qFormat="1" w:unhideWhenUsed="0" w:uiPriority="0" w:semiHidden="0" w:name="List 5" w:locked="1"/>
    <w:lsdException w:qFormat="1" w:unhideWhenUsed="0" w:uiPriority="0" w:semiHidden="0" w:name="List Bullet 2" w:locked="1"/>
    <w:lsdException w:qFormat="1" w:unhideWhenUsed="0" w:uiPriority="0" w:semiHidden="0" w:name="List Bullet 3" w:locked="1"/>
    <w:lsdException w:qFormat="1" w:unhideWhenUsed="0" w:uiPriority="0" w:semiHidden="0" w:name="List Bullet 4" w:locked="1"/>
    <w:lsdException w:qFormat="1" w:unhideWhenUsed="0" w:uiPriority="0" w:semiHidden="0" w:name="List Bullet 5" w:locked="1"/>
    <w:lsdException w:qFormat="1" w:unhideWhenUsed="0" w:uiPriority="0" w:semiHidden="0" w:name="List Number 2" w:locked="1"/>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nhideWhenUsed="0" w:uiPriority="0" w:semiHidden="0" w:name="Title" w:locked="1"/>
    <w:lsdException w:qFormat="1" w:unhideWhenUsed="0" w:uiPriority="0" w:semiHidden="0" w:name="Closing" w:locked="1"/>
    <w:lsdException w:qFormat="1" w:unhideWhenUsed="0" w:uiPriority="0" w:semiHidden="0" w:name="Signature" w:locked="1"/>
    <w:lsdException w:uiPriority="99" w:semiHidden="0" w:name="Default Paragraph Font"/>
    <w:lsdException w:qFormat="1" w:uiPriority="99" w:semiHidden="0" w:name="Body Text"/>
    <w:lsdException w:qFormat="1" w:uiPriority="99" w:semiHidden="0" w:name="Body Text Indent"/>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ocked="1"/>
    <w:lsdException w:qFormat="1" w:unhideWhenUsed="0" w:uiPriority="0" w:semiHidden="0" w:name="Body Text First Indent" w:locked="1"/>
    <w:lsdException w:qFormat="1" w:uiPriority="99" w:semiHidden="0" w:name="Body Text First Indent 2"/>
    <w:lsdException w:qFormat="1" w:unhideWhenUsed="0" w:uiPriority="0" w:semiHidden="0"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iPriority="99"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qFormat="1" w:unhideWhenUsed="0" w:uiPriority="0" w:semiHidden="0" w:name="E-mail Signature" w:locked="1"/>
    <w:lsdException w:qFormat="1" w:uiPriority="99" w:semiHidden="0" w:name="Normal (Web)" w:locked="1"/>
    <w:lsdException w:qFormat="1" w:unhideWhenUsed="0" w:uiPriority="0" w:semiHidden="0" w:name="HTML Acronym" w:locked="1"/>
    <w:lsdException w:qFormat="1"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nhideWhenUsed="0" w:uiPriority="0" w:semiHidden="0" w:name="HTML Preformatted" w:locked="1"/>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nhideWhenUsed="0" w:uiPriority="99" w:semiHidden="0" w:name="Normal Table"/>
    <w:lsdException w:qFormat="1" w:unhideWhenUsed="0" w:uiPriority="0" w:semiHidden="0" w:name="annotation subject" w:locked="1"/>
    <w:lsdException w:qFormat="1" w:unhideWhenUsed="0" w:uiPriority="0" w:semiHidden="0" w:name="Table Simple 1" w:locked="1"/>
    <w:lsdException w:qFormat="1" w:unhideWhenUsed="0" w:uiPriority="0" w:semiHidden="0" w:name="Table Simple 2" w:locked="1"/>
    <w:lsdException w:qFormat="1" w:unhideWhenUsed="0" w:uiPriority="0" w:semiHidden="0" w:name="Table Simple 3" w:locked="1"/>
    <w:lsdException w:qFormat="1" w:unhideWhenUsed="0" w:uiPriority="0" w:semiHidden="0" w:name="Table Classic 1" w:locked="1"/>
    <w:lsdException w:qFormat="1" w:unhideWhenUsed="0" w:uiPriority="0" w:semiHidden="0" w:name="Table Classic 2" w:locked="1"/>
    <w:lsdException w:qFormat="1" w:unhideWhenUsed="0" w:uiPriority="0" w:semiHidden="0" w:name="Table Classic 3" w:locked="1"/>
    <w:lsdException w:qFormat="1" w:unhideWhenUsed="0" w:uiPriority="0" w:semiHidden="0" w:name="Table Classic 4" w:locked="1"/>
    <w:lsdException w:qFormat="1" w:unhideWhenUsed="0" w:uiPriority="0" w:semiHidden="0" w:name="Table Colorful 1" w:locked="1"/>
    <w:lsdException w:qFormat="1" w:unhideWhenUsed="0" w:uiPriority="0" w:semiHidden="0" w:name="Table Colorful 2" w:locked="1"/>
    <w:lsdException w:qFormat="1" w:unhideWhenUsed="0" w:uiPriority="0" w:semiHidden="0" w:name="Table Colorful 3" w:locked="1"/>
    <w:lsdException w:qFormat="1" w:unhideWhenUsed="0" w:uiPriority="0" w:semiHidden="0" w:name="Table Columns 1" w:locked="1"/>
    <w:lsdException w:qFormat="1" w:unhideWhenUsed="0" w:uiPriority="0" w:semiHidden="0" w:name="Table Columns 2" w:locked="1"/>
    <w:lsdException w:qFormat="1" w:unhideWhenUsed="0" w:uiPriority="0" w:semiHidden="0" w:name="Table Columns 3" w:locked="1"/>
    <w:lsdException w:qFormat="1" w:unhideWhenUsed="0" w:uiPriority="0" w:semiHidden="0" w:name="Table Columns 4" w:locked="1"/>
    <w:lsdException w:qFormat="1" w:unhideWhenUsed="0" w:uiPriority="0" w:semiHidden="0" w:name="Table Columns 5" w:locked="1"/>
    <w:lsdException w:qFormat="1" w:unhideWhenUsed="0" w:uiPriority="0" w:semiHidden="0" w:name="Table Grid 1" w:locked="1"/>
    <w:lsdException w:qFormat="1" w:unhideWhenUsed="0" w:uiPriority="0" w:semiHidden="0" w:name="Table Grid 2" w:locked="1"/>
    <w:lsdException w:qFormat="1" w:unhideWhenUsed="0" w:uiPriority="0" w:semiHidden="0" w:name="Table Grid 3" w:locked="1"/>
    <w:lsdException w:qFormat="1" w:unhideWhenUsed="0" w:uiPriority="0" w:semiHidden="0" w:name="Table Grid 4" w:locked="1"/>
    <w:lsdException w:qFormat="1" w:unhideWhenUsed="0" w:uiPriority="0" w:semiHidden="0" w:name="Table Grid 5" w:locked="1"/>
    <w:lsdException w:qFormat="1" w:unhideWhenUsed="0" w:uiPriority="0" w:semiHidden="0" w:name="Table Grid 6" w:locked="1"/>
    <w:lsdException w:qFormat="1" w:unhideWhenUsed="0" w:uiPriority="0" w:semiHidden="0" w:name="Table Grid 7" w:locked="1"/>
    <w:lsdException w:qFormat="1" w:unhideWhenUsed="0" w:uiPriority="0" w:semiHidden="0" w:name="Table Grid 8" w:locked="1"/>
    <w:lsdException w:qFormat="1" w:unhideWhenUsed="0" w:uiPriority="0" w:semiHidden="0" w:name="Table List 1" w:locked="1"/>
    <w:lsdException w:qFormat="1" w:unhideWhenUsed="0" w:uiPriority="0" w:semiHidden="0" w:name="Table List 2" w:locked="1"/>
    <w:lsdException w:qFormat="1" w:unhideWhenUsed="0" w:uiPriority="0" w:semiHidden="0" w:name="Table List 3" w:locked="1"/>
    <w:lsdException w:qFormat="1" w:unhideWhenUsed="0" w:uiPriority="0" w:semiHidden="0" w:name="Table List 4" w:locked="1"/>
    <w:lsdException w:qFormat="1" w:unhideWhenUsed="0" w:uiPriority="0" w:semiHidden="0" w:name="Table List 5" w:locked="1"/>
    <w:lsdException w:qFormat="1" w:unhideWhenUsed="0" w:uiPriority="0" w:semiHidden="0" w:name="Table List 6" w:locked="1"/>
    <w:lsdException w:qFormat="1" w:unhideWhenUsed="0" w:uiPriority="0" w:semiHidden="0" w:name="Table List 7" w:locked="1"/>
    <w:lsdException w:qFormat="1" w:unhideWhenUsed="0" w:uiPriority="0" w:semiHidden="0" w:name="Table List 8" w:locked="1"/>
    <w:lsdException w:qFormat="1" w:unhideWhenUsed="0" w:uiPriority="0" w:semiHidden="0" w:name="Table 3D effects 1" w:locked="1"/>
    <w:lsdException w:qFormat="1" w:unhideWhenUsed="0" w:uiPriority="0" w:semiHidden="0" w:name="Table 3D effects 2" w:locked="1"/>
    <w:lsdException w:qFormat="1" w:unhideWhenUsed="0" w:uiPriority="0" w:semiHidden="0" w:name="Table 3D effects 3" w:locked="1"/>
    <w:lsdException w:qFormat="1" w:unhideWhenUsed="0" w:uiPriority="0" w:semiHidden="0" w:name="Table Contemporary" w:locked="1"/>
    <w:lsdException w:qFormat="1" w:unhideWhenUsed="0" w:uiPriority="0" w:semiHidden="0" w:name="Table Elegant" w:locked="1"/>
    <w:lsdException w:qFormat="1" w:unhideWhenUsed="0" w:uiPriority="0" w:semiHidden="0" w:name="Table Professional" w:locked="1"/>
    <w:lsdException w:qFormat="1" w:unhideWhenUsed="0" w:uiPriority="0" w:semiHidden="0" w:name="Table Subtle 1" w:locked="1"/>
    <w:lsdException w:qFormat="1" w:unhideWhenUsed="0" w:uiPriority="0" w:semiHidden="0" w:name="Table Subtle 2" w:locked="1"/>
    <w:lsdException w:qFormat="1" w:unhideWhenUsed="0" w:uiPriority="0" w:semiHidden="0" w:name="Table Web 1" w:locked="1"/>
    <w:lsdException w:qFormat="1" w:unhideWhenUsed="0" w:uiPriority="0" w:semiHidden="0" w:name="Table Web 2" w:locked="1"/>
    <w:lsdException w:qFormat="1" w:unhideWhenUsed="0" w:uiPriority="0" w:semiHidden="0" w:name="Table Web 3" w:locked="1"/>
    <w:lsdException w:qFormat="1" w:uiPriority="99" w:semiHidden="0" w:name="Balloon Text"/>
    <w:lsdException w:qFormat="1" w:unhideWhenUsed="0" w:uiPriority="0" w:semiHidden="0" w:name="Table Grid" w:locked="1"/>
    <w:lsdException w:qFormat="1"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uiPriority w:val="99"/>
    <w:pPr>
      <w:widowControl w:val="0"/>
      <w:autoSpaceDE w:val="0"/>
      <w:autoSpaceDN w:val="0"/>
      <w:adjustRightInd w:val="0"/>
    </w:pPr>
    <w:rPr>
      <w:rFonts w:hint="eastAsia" w:ascii="宋体" w:hAnsi="Times New Roman" w:eastAsia="宋体" w:cs="Times New Roman"/>
      <w:sz w:val="24"/>
      <w:szCs w:val="24"/>
      <w:lang w:val="en-US" w:eastAsia="zh-CN"/>
    </w:rPr>
  </w:style>
  <w:style w:type="paragraph" w:styleId="4">
    <w:name w:val="heading 1"/>
    <w:basedOn w:val="1"/>
    <w:unhideWhenUsed/>
    <w:uiPriority w:val="99"/>
    <w:pPr>
      <w:outlineLvl w:val="0"/>
    </w:pPr>
    <w:rPr>
      <w:rFonts w:hint="eastAsia"/>
      <w:sz w:val="24"/>
      <w:szCs w:val="24"/>
    </w:rPr>
  </w:style>
  <w:style w:type="paragraph" w:styleId="5">
    <w:name w:val="heading 2"/>
    <w:basedOn w:val="1"/>
    <w:next w:val="1"/>
    <w:link w:val="18"/>
    <w:unhideWhenUsed/>
    <w:uiPriority w:val="99"/>
    <w:pPr>
      <w:outlineLvl w:val="1"/>
    </w:pPr>
    <w:rPr>
      <w:rFonts w:hint="eastAsia"/>
      <w:sz w:val="24"/>
      <w:szCs w:val="24"/>
    </w:rPr>
  </w:style>
  <w:style w:type="character" w:default="1" w:styleId="12">
    <w:name w:val="Default Paragraph Font"/>
    <w:unhideWhenUsed/>
    <w:uiPriority w:val="99"/>
    <w:rPr>
      <w:rFonts w:hint="default"/>
      <w:sz w:val="24"/>
      <w:szCs w:val="24"/>
    </w:rPr>
  </w:style>
  <w:style w:type="table" w:default="1" w:styleId="11">
    <w:name w:val="Normal Table"/>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rFonts w:hint="eastAsia"/>
      <w:sz w:val="24"/>
      <w:szCs w:val="24"/>
    </w:rPr>
  </w:style>
  <w:style w:type="paragraph" w:styleId="3">
    <w:name w:val="Body Text Indent"/>
    <w:basedOn w:val="1"/>
    <w:next w:val="2"/>
    <w:unhideWhenUsed/>
    <w:qFormat/>
    <w:uiPriority w:val="99"/>
    <w:pPr>
      <w:spacing w:after="120"/>
      <w:ind w:leftChars="200"/>
    </w:pPr>
    <w:rPr>
      <w:rFonts w:hint="eastAsia" w:ascii="仿宋_GB2312" w:eastAsia="仿宋_GB2312"/>
      <w:sz w:val="24"/>
      <w:szCs w:val="24"/>
    </w:rPr>
  </w:style>
  <w:style w:type="paragraph" w:styleId="6">
    <w:name w:val="Body Text"/>
    <w:basedOn w:val="1"/>
    <w:link w:val="17"/>
    <w:unhideWhenUsed/>
    <w:qFormat/>
    <w:uiPriority w:val="99"/>
    <w:pPr>
      <w:autoSpaceDE/>
      <w:autoSpaceDN/>
      <w:adjustRightInd/>
      <w:spacing w:line="240" w:lineRule="atLeast"/>
      <w:jc w:val="both"/>
    </w:pPr>
    <w:rPr>
      <w:rFonts w:hint="eastAsia" w:hAnsi="宋体"/>
      <w:kern w:val="2"/>
      <w:sz w:val="44"/>
      <w:szCs w:val="24"/>
    </w:rPr>
  </w:style>
  <w:style w:type="paragraph" w:styleId="7">
    <w:name w:val="Balloon Text"/>
    <w:basedOn w:val="1"/>
    <w:link w:val="16"/>
    <w:unhideWhenUsed/>
    <w:qFormat/>
    <w:uiPriority w:val="99"/>
    <w:pPr>
      <w:autoSpaceDE/>
      <w:autoSpaceDN/>
      <w:adjustRightInd/>
      <w:jc w:val="both"/>
    </w:pPr>
    <w:rPr>
      <w:rFonts w:hint="eastAsia" w:hAnsi="宋体"/>
      <w:kern w:val="2"/>
      <w:sz w:val="18"/>
      <w:szCs w:val="24"/>
    </w:rPr>
  </w:style>
  <w:style w:type="paragraph" w:styleId="8">
    <w:name w:val="footer"/>
    <w:basedOn w:val="1"/>
    <w:unhideWhenUsed/>
    <w:qFormat/>
    <w:uiPriority w:val="99"/>
    <w:pPr>
      <w:tabs>
        <w:tab w:val="center" w:pos="4153"/>
        <w:tab w:val="right" w:pos="8306"/>
      </w:tabs>
      <w:autoSpaceDE/>
      <w:autoSpaceDN/>
      <w:adjustRightInd/>
      <w:snapToGrid w:val="0"/>
    </w:pPr>
    <w:rPr>
      <w:rFonts w:hint="eastAsia" w:hAnsi="宋体"/>
      <w:kern w:val="2"/>
      <w:sz w:val="18"/>
      <w:szCs w:val="24"/>
    </w:rPr>
  </w:style>
  <w:style w:type="paragraph" w:styleId="9">
    <w:name w:val="header"/>
    <w:basedOn w:val="1"/>
    <w:unhideWhenUsed/>
    <w:qFormat/>
    <w:uiPriority w:val="99"/>
    <w:pPr>
      <w:pBdr>
        <w:bottom w:val="single" w:color="auto" w:sz="6" w:space="1"/>
      </w:pBdr>
      <w:tabs>
        <w:tab w:val="center" w:pos="4153"/>
        <w:tab w:val="right" w:pos="8306"/>
      </w:tabs>
      <w:autoSpaceDE/>
      <w:autoSpaceDN/>
      <w:adjustRightInd/>
      <w:snapToGrid w:val="0"/>
      <w:jc w:val="center"/>
    </w:pPr>
    <w:rPr>
      <w:rFonts w:hint="eastAsia" w:hAnsi="宋体"/>
      <w:kern w:val="2"/>
      <w:sz w:val="18"/>
      <w:szCs w:val="24"/>
    </w:rPr>
  </w:style>
  <w:style w:type="paragraph" w:styleId="10">
    <w:name w:val="Normal (Web)"/>
    <w:basedOn w:val="1"/>
    <w:unhideWhenUsed/>
    <w:qFormat/>
    <w:locked/>
    <w:uiPriority w:val="99"/>
    <w:pPr>
      <w:spacing w:beforeAutospacing="1" w:afterAutospacing="1"/>
    </w:pPr>
    <w:rPr>
      <w:rFonts w:hint="eastAsia" w:ascii="Calibri" w:hAnsi="Calibri"/>
      <w:sz w:val="24"/>
      <w:szCs w:val="24"/>
    </w:rPr>
  </w:style>
  <w:style w:type="character" w:styleId="13">
    <w:name w:val="Strong"/>
    <w:basedOn w:val="12"/>
    <w:unhideWhenUsed/>
    <w:qFormat/>
    <w:locked/>
    <w:uiPriority w:val="99"/>
    <w:rPr>
      <w:rFonts w:hint="default" w:ascii="Times New Roman" w:hAnsi="Times New Roman" w:eastAsia="宋体"/>
      <w:b/>
      <w:sz w:val="24"/>
      <w:szCs w:val="24"/>
    </w:rPr>
  </w:style>
  <w:style w:type="character" w:styleId="14">
    <w:name w:val="page number"/>
    <w:basedOn w:val="12"/>
    <w:unhideWhenUsed/>
    <w:qFormat/>
    <w:uiPriority w:val="99"/>
    <w:rPr>
      <w:rFonts w:hint="default" w:ascii="Times New Roman" w:hAnsi="Times New Roman" w:eastAsia="Times New Roman"/>
      <w:sz w:val="24"/>
      <w:szCs w:val="24"/>
    </w:rPr>
  </w:style>
  <w:style w:type="paragraph" w:customStyle="1" w:styleId="15">
    <w:name w:val="四号正文"/>
    <w:basedOn w:val="1"/>
    <w:unhideWhenUsed/>
    <w:qFormat/>
    <w:uiPriority w:val="99"/>
    <w:pPr>
      <w:spacing w:line="360" w:lineRule="auto"/>
    </w:pPr>
    <w:rPr>
      <w:rFonts w:hint="eastAsia" w:ascii="??" w:hAnsi="??"/>
      <w:color w:val="000000"/>
      <w:sz w:val="28"/>
      <w:szCs w:val="24"/>
      <w:lang w:val="zh-CN"/>
    </w:rPr>
  </w:style>
  <w:style w:type="character" w:customStyle="1" w:styleId="16">
    <w:name w:val="批注框文本 Char"/>
    <w:link w:val="7"/>
    <w:unhideWhenUsed/>
    <w:qFormat/>
    <w:locked/>
    <w:uiPriority w:val="99"/>
    <w:rPr>
      <w:rFonts w:hint="default" w:ascii="Times New Roman" w:hAnsi="Times New Roman" w:eastAsia="Times New Roman"/>
      <w:sz w:val="18"/>
      <w:szCs w:val="24"/>
    </w:rPr>
  </w:style>
  <w:style w:type="character" w:customStyle="1" w:styleId="17">
    <w:name w:val="正文文本 Char"/>
    <w:link w:val="6"/>
    <w:unhideWhenUsed/>
    <w:locked/>
    <w:uiPriority w:val="99"/>
    <w:rPr>
      <w:rFonts w:hint="default" w:ascii="Times New Roman" w:hAnsi="Times New Roman" w:eastAsia="Times New Roman"/>
      <w:sz w:val="44"/>
      <w:szCs w:val="24"/>
    </w:rPr>
  </w:style>
  <w:style w:type="character" w:customStyle="1" w:styleId="18">
    <w:name w:val="标题 2 Char"/>
    <w:basedOn w:val="12"/>
    <w:link w:val="5"/>
    <w:unhideWhenUsed/>
    <w:locked/>
    <w:uiPriority w:val="99"/>
    <w:rPr>
      <w:rFonts w:hint="default" w:ascii="Times New Roman" w:hAnsi="Times New Roman" w:eastAsia="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2023-09-01T08:52:00Z</dcterms:created>
  <dc:creator>lenovo</dc:creator>
  <cp:lastModifiedBy>婵媛</cp:lastModifiedBy>
  <dcterms:modified xsi:type="dcterms:W3CDTF">2023-09-07T01:23:21Z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7D380852279043039B920E510FADDC65_13</vt:lpwstr>
  </property>
</Properties>
</file>